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56A24" w:rsidRPr="003E49A6" w:rsidRDefault="00656A24" w:rsidP="00ED195E">
      <w:pPr>
        <w:jc w:val="center"/>
        <w:rPr>
          <w:sz w:val="22"/>
          <w:szCs w:val="22"/>
        </w:rPr>
      </w:pPr>
    </w:p>
    <w:tbl>
      <w:tblPr>
        <w:tblStyle w:val="TableGrid"/>
        <w:tblW w:w="13518" w:type="dxa"/>
        <w:tblLook w:val="01E0"/>
      </w:tblPr>
      <w:tblGrid>
        <w:gridCol w:w="2652"/>
        <w:gridCol w:w="4026"/>
        <w:gridCol w:w="6840"/>
      </w:tblGrid>
      <w:tr w:rsidR="00403AA8" w:rsidRPr="00814A39" w:rsidTr="00185A39">
        <w:trPr>
          <w:tblHeader/>
        </w:trPr>
        <w:tc>
          <w:tcPr>
            <w:tcW w:w="2652" w:type="dxa"/>
          </w:tcPr>
          <w:p w:rsidR="00403AA8" w:rsidRPr="00814A39" w:rsidRDefault="00403AA8" w:rsidP="00656A24">
            <w:pPr>
              <w:spacing w:before="60" w:after="60"/>
              <w:jc w:val="center"/>
              <w:rPr>
                <w:b/>
                <w:sz w:val="20"/>
                <w:szCs w:val="20"/>
              </w:rPr>
            </w:pPr>
            <w:bookmarkStart w:id="0" w:name="_GoBack"/>
            <w:r w:rsidRPr="00814A39">
              <w:rPr>
                <w:b/>
                <w:sz w:val="20"/>
                <w:szCs w:val="20"/>
              </w:rPr>
              <w:t xml:space="preserve">Disclosures to: </w:t>
            </w:r>
          </w:p>
        </w:tc>
        <w:tc>
          <w:tcPr>
            <w:tcW w:w="4026" w:type="dxa"/>
          </w:tcPr>
          <w:p w:rsidR="00403AA8" w:rsidRPr="00814A39" w:rsidRDefault="00403AA8" w:rsidP="00656A24">
            <w:pPr>
              <w:spacing w:before="60" w:after="60"/>
              <w:jc w:val="center"/>
              <w:rPr>
                <w:b/>
                <w:sz w:val="20"/>
                <w:szCs w:val="20"/>
              </w:rPr>
            </w:pPr>
            <w:r w:rsidRPr="00814A39">
              <w:rPr>
                <w:b/>
                <w:sz w:val="20"/>
                <w:szCs w:val="20"/>
              </w:rPr>
              <w:t>FTI authorized to disclose</w:t>
            </w:r>
          </w:p>
        </w:tc>
        <w:tc>
          <w:tcPr>
            <w:tcW w:w="6840" w:type="dxa"/>
          </w:tcPr>
          <w:p w:rsidR="00403AA8" w:rsidRPr="00814A39" w:rsidRDefault="00403AA8" w:rsidP="00656A24">
            <w:pPr>
              <w:spacing w:before="60" w:after="60"/>
              <w:jc w:val="center"/>
              <w:rPr>
                <w:b/>
                <w:sz w:val="20"/>
                <w:szCs w:val="20"/>
              </w:rPr>
            </w:pPr>
            <w:r w:rsidRPr="00814A39">
              <w:rPr>
                <w:b/>
                <w:sz w:val="20"/>
                <w:szCs w:val="20"/>
              </w:rPr>
              <w:t>Limitations and Conditions</w:t>
            </w:r>
          </w:p>
        </w:tc>
      </w:tr>
      <w:bookmarkEnd w:id="0"/>
      <w:tr w:rsidR="00403AA8" w:rsidRPr="00AB785B" w:rsidTr="00185A39">
        <w:tc>
          <w:tcPr>
            <w:tcW w:w="2652" w:type="dxa"/>
          </w:tcPr>
          <w:p w:rsidR="00403AA8" w:rsidRPr="00AB785B" w:rsidRDefault="00403AA8" w:rsidP="00656A24">
            <w:pPr>
              <w:spacing w:before="60" w:after="60"/>
              <w:rPr>
                <w:sz w:val="20"/>
                <w:szCs w:val="20"/>
              </w:rPr>
            </w:pPr>
            <w:r w:rsidRPr="00AB785B">
              <w:rPr>
                <w:sz w:val="20"/>
                <w:szCs w:val="20"/>
              </w:rPr>
              <w:t>Custodial parent/guardian</w:t>
            </w:r>
          </w:p>
        </w:tc>
        <w:tc>
          <w:tcPr>
            <w:tcW w:w="4026" w:type="dxa"/>
          </w:tcPr>
          <w:p w:rsidR="00403AA8" w:rsidRPr="00AB785B" w:rsidRDefault="00403AA8" w:rsidP="00656A24">
            <w:pPr>
              <w:spacing w:before="60" w:after="60"/>
              <w:rPr>
                <w:sz w:val="20"/>
                <w:szCs w:val="20"/>
              </w:rPr>
            </w:pPr>
            <w:r w:rsidRPr="00AB785B">
              <w:rPr>
                <w:sz w:val="20"/>
                <w:szCs w:val="20"/>
              </w:rPr>
              <w:t xml:space="preserve">The amount &amp; date of a </w:t>
            </w:r>
            <w:r w:rsidR="008E7DF3">
              <w:rPr>
                <w:sz w:val="20"/>
                <w:szCs w:val="20"/>
              </w:rPr>
              <w:t>f</w:t>
            </w:r>
            <w:r w:rsidRPr="00AB785B">
              <w:rPr>
                <w:sz w:val="20"/>
                <w:szCs w:val="20"/>
              </w:rPr>
              <w:t xml:space="preserve">ederal income tax refund offset, including the source of the payment.   (Treasury Offset Program (TOP), Tax Intercept, etc. as the agency refers to it) </w:t>
            </w:r>
          </w:p>
          <w:p w:rsidR="00403AA8" w:rsidRPr="00AB785B" w:rsidRDefault="00403AA8" w:rsidP="00656A24">
            <w:pPr>
              <w:spacing w:before="60" w:after="60"/>
              <w:rPr>
                <w:sz w:val="20"/>
                <w:szCs w:val="20"/>
              </w:rPr>
            </w:pPr>
          </w:p>
          <w:p w:rsidR="00403AA8" w:rsidRPr="00AB785B" w:rsidRDefault="00403AA8" w:rsidP="00656A24">
            <w:pPr>
              <w:spacing w:before="60" w:after="60"/>
              <w:rPr>
                <w:sz w:val="20"/>
                <w:szCs w:val="20"/>
              </w:rPr>
            </w:pPr>
          </w:p>
          <w:p w:rsidR="00403AA8" w:rsidRPr="00AB785B" w:rsidRDefault="00403AA8" w:rsidP="00656A24">
            <w:pPr>
              <w:spacing w:before="60" w:after="60"/>
              <w:rPr>
                <w:sz w:val="20"/>
                <w:szCs w:val="20"/>
              </w:rPr>
            </w:pPr>
          </w:p>
        </w:tc>
        <w:tc>
          <w:tcPr>
            <w:tcW w:w="6840" w:type="dxa"/>
          </w:tcPr>
          <w:p w:rsidR="00403AA8" w:rsidRPr="00AB785B" w:rsidRDefault="00403AA8" w:rsidP="00656A24">
            <w:pPr>
              <w:spacing w:before="60" w:after="60"/>
              <w:rPr>
                <w:sz w:val="20"/>
                <w:szCs w:val="20"/>
              </w:rPr>
            </w:pPr>
            <w:r w:rsidRPr="00AB785B">
              <w:rPr>
                <w:sz w:val="20"/>
                <w:szCs w:val="20"/>
              </w:rPr>
              <w:t>Disclosure of the payment information may be ma</w:t>
            </w:r>
            <w:r w:rsidR="008E7DF3">
              <w:rPr>
                <w:sz w:val="20"/>
                <w:szCs w:val="20"/>
              </w:rPr>
              <w:t>de to the custodial parent/</w:t>
            </w:r>
            <w:r w:rsidRPr="00AB785B">
              <w:rPr>
                <w:sz w:val="20"/>
                <w:szCs w:val="20"/>
              </w:rPr>
              <w:t>guardian</w:t>
            </w:r>
            <w:r w:rsidR="008E7DF3">
              <w:rPr>
                <w:sz w:val="20"/>
                <w:szCs w:val="20"/>
              </w:rPr>
              <w:t xml:space="preserve"> (CP)</w:t>
            </w:r>
            <w:r w:rsidRPr="00AB785B">
              <w:rPr>
                <w:sz w:val="20"/>
                <w:szCs w:val="20"/>
              </w:rPr>
              <w:t xml:space="preserve"> after the payment is </w:t>
            </w:r>
            <w:r w:rsidRPr="004C238C">
              <w:rPr>
                <w:sz w:val="20"/>
                <w:szCs w:val="20"/>
              </w:rPr>
              <w:t>received by the agency.  The CP may be told about payments received but held (pending injured spouse claims), but the reason for the hold and the length of the hold period may not be disclosed.  The CP may be told the disbursement of the offset is being delayed because it may be subject to adjustment.</w:t>
            </w:r>
            <w:r w:rsidRPr="00AB785B">
              <w:rPr>
                <w:sz w:val="20"/>
                <w:szCs w:val="20"/>
              </w:rPr>
              <w:t xml:space="preserve">  </w:t>
            </w:r>
          </w:p>
          <w:p w:rsidR="00403AA8" w:rsidRPr="00AB785B" w:rsidRDefault="00403AA8" w:rsidP="00656A24">
            <w:pPr>
              <w:spacing w:before="60" w:after="60"/>
              <w:rPr>
                <w:sz w:val="20"/>
                <w:szCs w:val="20"/>
              </w:rPr>
            </w:pPr>
            <w:r w:rsidRPr="00AB785B">
              <w:rPr>
                <w:sz w:val="20"/>
                <w:szCs w:val="20"/>
              </w:rPr>
              <w:t xml:space="preserve">Note: The CP may not have access to </w:t>
            </w:r>
            <w:r w:rsidR="008E7DF3">
              <w:rPr>
                <w:sz w:val="20"/>
                <w:szCs w:val="20"/>
              </w:rPr>
              <w:t>noncustodial parent (</w:t>
            </w:r>
            <w:r w:rsidRPr="00AB785B">
              <w:rPr>
                <w:sz w:val="20"/>
                <w:szCs w:val="20"/>
              </w:rPr>
              <w:t>NCP</w:t>
            </w:r>
            <w:r w:rsidR="008E7DF3">
              <w:rPr>
                <w:sz w:val="20"/>
                <w:szCs w:val="20"/>
              </w:rPr>
              <w:t>)</w:t>
            </w:r>
            <w:r w:rsidRPr="00AB785B">
              <w:rPr>
                <w:sz w:val="20"/>
                <w:szCs w:val="20"/>
              </w:rPr>
              <w:t xml:space="preserve"> address provided by the IRS, wage data</w:t>
            </w:r>
            <w:r w:rsidR="008E7DF3">
              <w:rPr>
                <w:sz w:val="20"/>
                <w:szCs w:val="20"/>
              </w:rPr>
              <w:t>,</w:t>
            </w:r>
            <w:r w:rsidRPr="00AB785B">
              <w:rPr>
                <w:sz w:val="20"/>
                <w:szCs w:val="20"/>
              </w:rPr>
              <w:t xml:space="preserve"> or any other FTI of the NCP.</w:t>
            </w:r>
          </w:p>
        </w:tc>
      </w:tr>
      <w:tr w:rsidR="00403AA8" w:rsidRPr="00AB785B" w:rsidTr="00185A39">
        <w:tc>
          <w:tcPr>
            <w:tcW w:w="2652" w:type="dxa"/>
          </w:tcPr>
          <w:p w:rsidR="00403AA8" w:rsidRPr="00AB785B" w:rsidRDefault="00403AA8" w:rsidP="006B3660">
            <w:pPr>
              <w:spacing w:before="60" w:after="60"/>
              <w:rPr>
                <w:sz w:val="20"/>
                <w:szCs w:val="20"/>
              </w:rPr>
            </w:pPr>
            <w:r w:rsidRPr="00AB785B">
              <w:rPr>
                <w:sz w:val="20"/>
                <w:szCs w:val="20"/>
              </w:rPr>
              <w:t xml:space="preserve">Another state’s </w:t>
            </w:r>
            <w:r w:rsidR="006B3660">
              <w:rPr>
                <w:sz w:val="20"/>
                <w:szCs w:val="20"/>
              </w:rPr>
              <w:t>c</w:t>
            </w:r>
            <w:r w:rsidRPr="00AB785B">
              <w:rPr>
                <w:sz w:val="20"/>
                <w:szCs w:val="20"/>
              </w:rPr>
              <w:t xml:space="preserve">hild </w:t>
            </w:r>
            <w:r w:rsidR="006B3660">
              <w:rPr>
                <w:sz w:val="20"/>
                <w:szCs w:val="20"/>
              </w:rPr>
              <w:t>s</w:t>
            </w:r>
            <w:r w:rsidRPr="00AB785B">
              <w:rPr>
                <w:sz w:val="20"/>
                <w:szCs w:val="20"/>
              </w:rPr>
              <w:t xml:space="preserve">upport </w:t>
            </w:r>
            <w:r w:rsidR="006B3660">
              <w:rPr>
                <w:sz w:val="20"/>
                <w:szCs w:val="20"/>
              </w:rPr>
              <w:t>a</w:t>
            </w:r>
            <w:r w:rsidRPr="00AB785B">
              <w:rPr>
                <w:sz w:val="20"/>
                <w:szCs w:val="20"/>
              </w:rPr>
              <w:t>gency in interstate IV-D child support cases</w:t>
            </w:r>
          </w:p>
        </w:tc>
        <w:tc>
          <w:tcPr>
            <w:tcW w:w="4026" w:type="dxa"/>
          </w:tcPr>
          <w:p w:rsidR="00403AA8" w:rsidRPr="00AB785B" w:rsidRDefault="00403AA8" w:rsidP="00656A24">
            <w:pPr>
              <w:spacing w:before="60" w:after="60"/>
              <w:rPr>
                <w:sz w:val="20"/>
                <w:szCs w:val="20"/>
              </w:rPr>
            </w:pPr>
            <w:r w:rsidRPr="00AB785B">
              <w:rPr>
                <w:sz w:val="20"/>
                <w:szCs w:val="20"/>
              </w:rPr>
              <w:t xml:space="preserve">On a case by case basis, FTI in the case record. </w:t>
            </w:r>
          </w:p>
          <w:p w:rsidR="00403AA8" w:rsidRPr="00AB785B" w:rsidRDefault="00403AA8" w:rsidP="00656A24">
            <w:pPr>
              <w:spacing w:before="60" w:after="60"/>
              <w:rPr>
                <w:sz w:val="20"/>
                <w:szCs w:val="20"/>
              </w:rPr>
            </w:pPr>
          </w:p>
          <w:p w:rsidR="00403AA8" w:rsidRPr="00AB785B" w:rsidRDefault="00403AA8" w:rsidP="00656A24">
            <w:pPr>
              <w:spacing w:before="60" w:after="60"/>
              <w:rPr>
                <w:sz w:val="20"/>
                <w:szCs w:val="20"/>
              </w:rPr>
            </w:pPr>
          </w:p>
        </w:tc>
        <w:tc>
          <w:tcPr>
            <w:tcW w:w="6840" w:type="dxa"/>
          </w:tcPr>
          <w:p w:rsidR="00403AA8" w:rsidRPr="00AB785B" w:rsidRDefault="00403AA8" w:rsidP="00B31AD2">
            <w:pPr>
              <w:spacing w:before="60" w:after="60"/>
              <w:rPr>
                <w:sz w:val="20"/>
                <w:szCs w:val="20"/>
              </w:rPr>
            </w:pPr>
            <w:r w:rsidRPr="00AB785B">
              <w:rPr>
                <w:sz w:val="20"/>
                <w:szCs w:val="20"/>
              </w:rPr>
              <w:t xml:space="preserve">Disclosure must be only to accurately record and administer offset collections and distributions in IV-D cases </w:t>
            </w:r>
            <w:r>
              <w:rPr>
                <w:sz w:val="20"/>
                <w:szCs w:val="20"/>
              </w:rPr>
              <w:t xml:space="preserve">between/among </w:t>
            </w:r>
            <w:r w:rsidRPr="004C238C">
              <w:rPr>
                <w:sz w:val="20"/>
                <w:szCs w:val="20"/>
              </w:rPr>
              <w:t>states that have a shared interest</w:t>
            </w:r>
            <w:r w:rsidR="008E7DF3">
              <w:rPr>
                <w:sz w:val="20"/>
                <w:szCs w:val="20"/>
              </w:rPr>
              <w:t>,</w:t>
            </w:r>
            <w:r w:rsidRPr="004C238C">
              <w:rPr>
                <w:sz w:val="20"/>
                <w:szCs w:val="20"/>
              </w:rPr>
              <w:t xml:space="preserve"> on a case by case basis.</w:t>
            </w:r>
            <w:r w:rsidRPr="00AB785B">
              <w:rPr>
                <w:sz w:val="20"/>
                <w:szCs w:val="20"/>
              </w:rPr>
              <w:t xml:space="preserve">  </w:t>
            </w:r>
          </w:p>
        </w:tc>
      </w:tr>
      <w:tr w:rsidR="00403AA8" w:rsidRPr="00AB785B" w:rsidTr="00185A39">
        <w:tc>
          <w:tcPr>
            <w:tcW w:w="2652" w:type="dxa"/>
          </w:tcPr>
          <w:p w:rsidR="00403AA8" w:rsidRPr="00AB785B" w:rsidRDefault="00403AA8" w:rsidP="00A36EB0">
            <w:pPr>
              <w:spacing w:before="60" w:after="60"/>
              <w:rPr>
                <w:sz w:val="20"/>
                <w:szCs w:val="20"/>
              </w:rPr>
            </w:pPr>
            <w:r w:rsidRPr="00AB785B">
              <w:rPr>
                <w:sz w:val="20"/>
                <w:szCs w:val="20"/>
              </w:rPr>
              <w:t>Judges &amp; Officers and Clerks of the Court (acting as officers of the court</w:t>
            </w:r>
            <w:r>
              <w:rPr>
                <w:sz w:val="20"/>
                <w:szCs w:val="20"/>
              </w:rPr>
              <w:t xml:space="preserve"> in a court proceeding</w:t>
            </w:r>
            <w:r w:rsidRPr="00AB785B">
              <w:rPr>
                <w:sz w:val="20"/>
                <w:szCs w:val="20"/>
              </w:rPr>
              <w:t>)</w:t>
            </w:r>
          </w:p>
        </w:tc>
        <w:tc>
          <w:tcPr>
            <w:tcW w:w="4026" w:type="dxa"/>
          </w:tcPr>
          <w:p w:rsidR="00403AA8" w:rsidRPr="00AB785B" w:rsidRDefault="00403AA8" w:rsidP="00A36EB0">
            <w:pPr>
              <w:spacing w:before="60" w:after="60"/>
              <w:rPr>
                <w:sz w:val="20"/>
                <w:szCs w:val="20"/>
              </w:rPr>
            </w:pPr>
            <w:r>
              <w:rPr>
                <w:sz w:val="20"/>
                <w:szCs w:val="20"/>
              </w:rPr>
              <w:t>None</w:t>
            </w:r>
            <w:r w:rsidR="00B10308">
              <w:rPr>
                <w:sz w:val="20"/>
                <w:szCs w:val="20"/>
              </w:rPr>
              <w:t>.</w:t>
            </w:r>
          </w:p>
        </w:tc>
        <w:tc>
          <w:tcPr>
            <w:tcW w:w="6840" w:type="dxa"/>
          </w:tcPr>
          <w:p w:rsidR="00403AA8" w:rsidRPr="00AB785B" w:rsidRDefault="00403AA8" w:rsidP="00A36EB0">
            <w:pPr>
              <w:spacing w:before="60" w:after="60"/>
              <w:rPr>
                <w:sz w:val="20"/>
                <w:szCs w:val="20"/>
              </w:rPr>
            </w:pPr>
            <w:r w:rsidRPr="00AB785B">
              <w:rPr>
                <w:sz w:val="20"/>
                <w:szCs w:val="20"/>
              </w:rPr>
              <w:t xml:space="preserve">As a matter of federal law, FTI may not be disclosed in state court proceedings.   </w:t>
            </w:r>
          </w:p>
          <w:p w:rsidR="00403AA8" w:rsidRPr="001B5553" w:rsidRDefault="00403AA8" w:rsidP="00DF1A08">
            <w:pPr>
              <w:spacing w:before="120" w:after="120"/>
              <w:rPr>
                <w:sz w:val="20"/>
                <w:szCs w:val="20"/>
              </w:rPr>
            </w:pPr>
            <w:r w:rsidRPr="001B5553">
              <w:rPr>
                <w:sz w:val="20"/>
                <w:szCs w:val="20"/>
              </w:rPr>
              <w:t xml:space="preserve">FTO payment amounts may be disclosed in court proceedings provided that all payment sources are removed from child support payment records to prevent unauthorized disclosure of FTI.  However, payment amounts may be marked as voluntary or involuntary, or administrative/non-administrative. </w:t>
            </w:r>
          </w:p>
        </w:tc>
      </w:tr>
      <w:tr w:rsidR="00403AA8" w:rsidRPr="00814A39" w:rsidTr="00185A39">
        <w:tc>
          <w:tcPr>
            <w:tcW w:w="2652" w:type="dxa"/>
          </w:tcPr>
          <w:p w:rsidR="00403AA8" w:rsidRPr="00403AA8" w:rsidRDefault="00403AA8" w:rsidP="00A36EB0">
            <w:pPr>
              <w:spacing w:before="60" w:after="60"/>
              <w:rPr>
                <w:sz w:val="20"/>
                <w:szCs w:val="20"/>
              </w:rPr>
            </w:pPr>
            <w:r>
              <w:rPr>
                <w:sz w:val="20"/>
                <w:szCs w:val="20"/>
              </w:rPr>
              <w:t>Federal Child Support Program Auditors</w:t>
            </w:r>
          </w:p>
        </w:tc>
        <w:tc>
          <w:tcPr>
            <w:tcW w:w="4026" w:type="dxa"/>
          </w:tcPr>
          <w:p w:rsidR="00403AA8" w:rsidRPr="00814A39" w:rsidRDefault="00F6326D" w:rsidP="00B808C0">
            <w:pPr>
              <w:spacing w:before="60" w:after="60"/>
              <w:rPr>
                <w:sz w:val="20"/>
                <w:szCs w:val="20"/>
              </w:rPr>
            </w:pPr>
            <w:r>
              <w:rPr>
                <w:sz w:val="20"/>
                <w:szCs w:val="20"/>
              </w:rPr>
              <w:t>All FTI</w:t>
            </w:r>
            <w:r w:rsidR="00B10308">
              <w:rPr>
                <w:sz w:val="20"/>
                <w:szCs w:val="20"/>
              </w:rPr>
              <w:t>.</w:t>
            </w:r>
          </w:p>
        </w:tc>
        <w:tc>
          <w:tcPr>
            <w:tcW w:w="6840" w:type="dxa"/>
          </w:tcPr>
          <w:p w:rsidR="00403AA8" w:rsidRPr="00814A39" w:rsidRDefault="00403AA8" w:rsidP="00A36EB0">
            <w:pPr>
              <w:spacing w:before="120" w:after="120"/>
              <w:rPr>
                <w:sz w:val="20"/>
                <w:szCs w:val="20"/>
              </w:rPr>
            </w:pPr>
            <w:r>
              <w:rPr>
                <w:sz w:val="20"/>
                <w:szCs w:val="20"/>
              </w:rPr>
              <w:t>None</w:t>
            </w:r>
            <w:r w:rsidR="00B10308">
              <w:rPr>
                <w:sz w:val="20"/>
                <w:szCs w:val="20"/>
              </w:rPr>
              <w:t>.</w:t>
            </w:r>
          </w:p>
          <w:p w:rsidR="00403AA8" w:rsidRPr="00814A39" w:rsidRDefault="00403AA8" w:rsidP="00A36EB0">
            <w:pPr>
              <w:spacing w:before="120" w:after="120"/>
              <w:rPr>
                <w:sz w:val="20"/>
                <w:szCs w:val="20"/>
              </w:rPr>
            </w:pPr>
          </w:p>
        </w:tc>
      </w:tr>
      <w:tr w:rsidR="00403AA8" w:rsidRPr="00814A39" w:rsidTr="00185A39">
        <w:tc>
          <w:tcPr>
            <w:tcW w:w="2652" w:type="dxa"/>
          </w:tcPr>
          <w:p w:rsidR="00403AA8" w:rsidRPr="005242E5" w:rsidDel="00B808C0" w:rsidRDefault="00403AA8" w:rsidP="00A36EB0">
            <w:pPr>
              <w:spacing w:before="60" w:after="60"/>
              <w:rPr>
                <w:sz w:val="20"/>
                <w:szCs w:val="20"/>
              </w:rPr>
            </w:pPr>
            <w:r w:rsidRPr="005242E5">
              <w:rPr>
                <w:sz w:val="20"/>
                <w:szCs w:val="20"/>
              </w:rPr>
              <w:t>State Auditors</w:t>
            </w:r>
          </w:p>
        </w:tc>
        <w:tc>
          <w:tcPr>
            <w:tcW w:w="4026" w:type="dxa"/>
          </w:tcPr>
          <w:p w:rsidR="00403AA8" w:rsidRPr="00814A39" w:rsidRDefault="00403AA8" w:rsidP="00B808C0">
            <w:pPr>
              <w:spacing w:before="60" w:after="60"/>
              <w:rPr>
                <w:sz w:val="20"/>
                <w:szCs w:val="20"/>
              </w:rPr>
            </w:pPr>
            <w:r w:rsidRPr="00814A39">
              <w:rPr>
                <w:sz w:val="20"/>
                <w:szCs w:val="20"/>
              </w:rPr>
              <w:t>None</w:t>
            </w:r>
            <w:r w:rsidR="00B10308">
              <w:rPr>
                <w:sz w:val="20"/>
                <w:szCs w:val="20"/>
              </w:rPr>
              <w:t>.</w:t>
            </w:r>
            <w:r>
              <w:rPr>
                <w:sz w:val="20"/>
                <w:szCs w:val="20"/>
              </w:rPr>
              <w:t>*</w:t>
            </w:r>
          </w:p>
          <w:p w:rsidR="00403AA8" w:rsidRDefault="00403AA8" w:rsidP="00A36EB0">
            <w:pPr>
              <w:spacing w:before="60" w:after="60"/>
              <w:rPr>
                <w:sz w:val="20"/>
                <w:szCs w:val="20"/>
              </w:rPr>
            </w:pPr>
          </w:p>
          <w:p w:rsidR="00411EAC" w:rsidRPr="00814A39" w:rsidRDefault="00411EAC" w:rsidP="009572CB">
            <w:pPr>
              <w:spacing w:before="60" w:after="60"/>
              <w:rPr>
                <w:sz w:val="20"/>
                <w:szCs w:val="20"/>
              </w:rPr>
            </w:pPr>
            <w:r w:rsidRPr="004C238C">
              <w:rPr>
                <w:sz w:val="20"/>
                <w:szCs w:val="20"/>
              </w:rPr>
              <w:t>*</w:t>
            </w:r>
            <w:r w:rsidR="009572CB">
              <w:rPr>
                <w:sz w:val="20"/>
                <w:szCs w:val="20"/>
              </w:rPr>
              <w:t>IRS and OCSE are discussing</w:t>
            </w:r>
            <w:r>
              <w:rPr>
                <w:sz w:val="20"/>
                <w:szCs w:val="20"/>
              </w:rPr>
              <w:t xml:space="preserve"> further.  It is critical for states that feel strongly about this issue </w:t>
            </w:r>
            <w:r w:rsidR="009572CB">
              <w:rPr>
                <w:sz w:val="20"/>
                <w:szCs w:val="20"/>
              </w:rPr>
              <w:t xml:space="preserve">to </w:t>
            </w:r>
            <w:r>
              <w:rPr>
                <w:sz w:val="20"/>
                <w:szCs w:val="20"/>
              </w:rPr>
              <w:t>provide feedback and justification for their arguments</w:t>
            </w:r>
            <w:r w:rsidR="009572CB">
              <w:rPr>
                <w:sz w:val="20"/>
                <w:szCs w:val="20"/>
              </w:rPr>
              <w:t>.</w:t>
            </w:r>
          </w:p>
        </w:tc>
        <w:tc>
          <w:tcPr>
            <w:tcW w:w="6840" w:type="dxa"/>
          </w:tcPr>
          <w:p w:rsidR="00403AA8" w:rsidRDefault="00403AA8" w:rsidP="00B808C0">
            <w:pPr>
              <w:spacing w:before="120" w:after="120"/>
              <w:rPr>
                <w:sz w:val="20"/>
                <w:szCs w:val="20"/>
              </w:rPr>
            </w:pPr>
            <w:r w:rsidRPr="00814A39">
              <w:rPr>
                <w:sz w:val="20"/>
                <w:szCs w:val="20"/>
              </w:rPr>
              <w:t>No authority to disclose FTI to any state auditors under IRC § 6103.</w:t>
            </w:r>
            <w:r>
              <w:rPr>
                <w:sz w:val="20"/>
                <w:szCs w:val="20"/>
              </w:rPr>
              <w:t xml:space="preserve">  However, </w:t>
            </w:r>
            <w:r w:rsidR="00F6326D">
              <w:rPr>
                <w:sz w:val="20"/>
                <w:szCs w:val="20"/>
              </w:rPr>
              <w:t xml:space="preserve">IRS notes that </w:t>
            </w:r>
            <w:r>
              <w:rPr>
                <w:sz w:val="20"/>
                <w:szCs w:val="20"/>
              </w:rPr>
              <w:t xml:space="preserve">this is contradictory to the current guidance </w:t>
            </w:r>
            <w:r w:rsidR="00F6326D">
              <w:rPr>
                <w:sz w:val="20"/>
                <w:szCs w:val="20"/>
              </w:rPr>
              <w:t xml:space="preserve">it provides </w:t>
            </w:r>
            <w:r>
              <w:rPr>
                <w:sz w:val="20"/>
                <w:szCs w:val="20"/>
              </w:rPr>
              <w:t>in Publication 1075, Section 3.5, which allows disclosure to state auditors employed</w:t>
            </w:r>
            <w:r w:rsidR="00F6326D">
              <w:rPr>
                <w:sz w:val="20"/>
                <w:szCs w:val="20"/>
              </w:rPr>
              <w:t xml:space="preserve"> by the state – will be </w:t>
            </w:r>
            <w:r>
              <w:rPr>
                <w:sz w:val="20"/>
                <w:szCs w:val="20"/>
              </w:rPr>
              <w:t>addressed in next version of Publication 1075</w:t>
            </w:r>
            <w:r w:rsidR="004C12EB">
              <w:rPr>
                <w:sz w:val="20"/>
                <w:szCs w:val="20"/>
              </w:rPr>
              <w:t>.</w:t>
            </w:r>
          </w:p>
          <w:p w:rsidR="00403AA8" w:rsidRPr="00814A39" w:rsidRDefault="00403AA8" w:rsidP="00403AA8">
            <w:pPr>
              <w:spacing w:before="120" w:after="120"/>
              <w:rPr>
                <w:sz w:val="20"/>
                <w:szCs w:val="20"/>
              </w:rPr>
            </w:pPr>
          </w:p>
        </w:tc>
      </w:tr>
      <w:tr w:rsidR="00B10308" w:rsidRPr="00814A39" w:rsidTr="00185A39">
        <w:tc>
          <w:tcPr>
            <w:tcW w:w="2652" w:type="dxa"/>
          </w:tcPr>
          <w:p w:rsidR="00B10308" w:rsidRPr="00814A39" w:rsidRDefault="00B10308" w:rsidP="008E7DF3">
            <w:pPr>
              <w:spacing w:before="60" w:after="60"/>
              <w:rPr>
                <w:sz w:val="20"/>
                <w:szCs w:val="20"/>
              </w:rPr>
            </w:pPr>
            <w:r w:rsidRPr="00814A39">
              <w:rPr>
                <w:sz w:val="20"/>
                <w:szCs w:val="20"/>
              </w:rPr>
              <w:t>State IV-A</w:t>
            </w:r>
            <w:r w:rsidRPr="00B10308">
              <w:rPr>
                <w:sz w:val="20"/>
                <w:szCs w:val="20"/>
              </w:rPr>
              <w:t xml:space="preserve">, </w:t>
            </w:r>
            <w:r w:rsidR="006623F6">
              <w:rPr>
                <w:sz w:val="20"/>
                <w:szCs w:val="20"/>
              </w:rPr>
              <w:t xml:space="preserve">IV-B, </w:t>
            </w:r>
            <w:r w:rsidRPr="00B10308">
              <w:rPr>
                <w:sz w:val="20"/>
                <w:szCs w:val="20"/>
              </w:rPr>
              <w:t>IV-E, and Title XIX Medicaid</w:t>
            </w:r>
            <w:r w:rsidRPr="00814A39">
              <w:rPr>
                <w:sz w:val="20"/>
                <w:szCs w:val="20"/>
              </w:rPr>
              <w:t xml:space="preserve"> </w:t>
            </w:r>
            <w:r w:rsidR="008E7DF3">
              <w:rPr>
                <w:sz w:val="20"/>
                <w:szCs w:val="20"/>
              </w:rPr>
              <w:t>H</w:t>
            </w:r>
            <w:r w:rsidRPr="00814A39">
              <w:rPr>
                <w:sz w:val="20"/>
                <w:szCs w:val="20"/>
              </w:rPr>
              <w:t xml:space="preserve">uman </w:t>
            </w:r>
            <w:r w:rsidR="008E7DF3">
              <w:rPr>
                <w:sz w:val="20"/>
                <w:szCs w:val="20"/>
              </w:rPr>
              <w:t>S</w:t>
            </w:r>
            <w:r w:rsidRPr="00814A39">
              <w:rPr>
                <w:sz w:val="20"/>
                <w:szCs w:val="20"/>
              </w:rPr>
              <w:t xml:space="preserve">ervices </w:t>
            </w:r>
            <w:r w:rsidR="008E7DF3">
              <w:rPr>
                <w:sz w:val="20"/>
                <w:szCs w:val="20"/>
              </w:rPr>
              <w:t>A</w:t>
            </w:r>
            <w:r w:rsidRPr="00814A39">
              <w:rPr>
                <w:sz w:val="20"/>
                <w:szCs w:val="20"/>
              </w:rPr>
              <w:t xml:space="preserve">gencies when </w:t>
            </w:r>
            <w:r w:rsidRPr="00814A39">
              <w:rPr>
                <w:sz w:val="20"/>
                <w:szCs w:val="20"/>
              </w:rPr>
              <w:lastRenderedPageBreak/>
              <w:t>the CP received benefits and assigned rights to child support payments to the state</w:t>
            </w:r>
          </w:p>
        </w:tc>
        <w:tc>
          <w:tcPr>
            <w:tcW w:w="4026" w:type="dxa"/>
          </w:tcPr>
          <w:p w:rsidR="00B10308" w:rsidRPr="00814A39" w:rsidRDefault="00B10308" w:rsidP="008E7DF3">
            <w:pPr>
              <w:spacing w:before="60" w:after="60"/>
              <w:rPr>
                <w:sz w:val="20"/>
                <w:szCs w:val="20"/>
              </w:rPr>
            </w:pPr>
            <w:r w:rsidRPr="00814A39">
              <w:rPr>
                <w:sz w:val="20"/>
                <w:szCs w:val="20"/>
              </w:rPr>
              <w:lastRenderedPageBreak/>
              <w:t>On a case by case basis, the amount &amp; date of a refund offset payment</w:t>
            </w:r>
            <w:r w:rsidR="008E7DF3">
              <w:rPr>
                <w:sz w:val="20"/>
                <w:szCs w:val="20"/>
              </w:rPr>
              <w:t>,</w:t>
            </w:r>
            <w:r w:rsidRPr="00814A39">
              <w:rPr>
                <w:sz w:val="20"/>
                <w:szCs w:val="20"/>
              </w:rPr>
              <w:t xml:space="preserve"> including the source of the payment</w:t>
            </w:r>
            <w:r w:rsidR="008E7DF3">
              <w:rPr>
                <w:sz w:val="20"/>
                <w:szCs w:val="20"/>
              </w:rPr>
              <w:t>,</w:t>
            </w:r>
            <w:r w:rsidRPr="00814A39">
              <w:rPr>
                <w:sz w:val="20"/>
                <w:szCs w:val="20"/>
              </w:rPr>
              <w:t xml:space="preserve"> when a </w:t>
            </w:r>
            <w:r w:rsidRPr="00814A39">
              <w:rPr>
                <w:sz w:val="20"/>
                <w:szCs w:val="20"/>
              </w:rPr>
              <w:lastRenderedPageBreak/>
              <w:t>payment is disbursed.</w:t>
            </w:r>
          </w:p>
          <w:p w:rsidR="00B10308" w:rsidRPr="00814A39" w:rsidRDefault="00B10308" w:rsidP="008E7DF3">
            <w:pPr>
              <w:spacing w:before="60" w:after="60"/>
              <w:rPr>
                <w:sz w:val="20"/>
                <w:szCs w:val="20"/>
              </w:rPr>
            </w:pPr>
          </w:p>
          <w:p w:rsidR="00B10308" w:rsidRPr="00814A39" w:rsidRDefault="00B10308" w:rsidP="008E7DF3">
            <w:pPr>
              <w:spacing w:before="60" w:after="60"/>
              <w:rPr>
                <w:sz w:val="20"/>
                <w:szCs w:val="20"/>
              </w:rPr>
            </w:pPr>
          </w:p>
        </w:tc>
        <w:tc>
          <w:tcPr>
            <w:tcW w:w="6840" w:type="dxa"/>
          </w:tcPr>
          <w:p w:rsidR="00B10308" w:rsidRPr="00814A39" w:rsidRDefault="00B10308" w:rsidP="008E7DF3">
            <w:pPr>
              <w:spacing w:before="60" w:after="60"/>
              <w:rPr>
                <w:sz w:val="20"/>
                <w:szCs w:val="20"/>
              </w:rPr>
            </w:pPr>
            <w:r w:rsidRPr="00814A39">
              <w:rPr>
                <w:sz w:val="20"/>
                <w:szCs w:val="20"/>
              </w:rPr>
              <w:lastRenderedPageBreak/>
              <w:t xml:space="preserve">Disclosure must be only to accurately record and recoup benefits, on a case by case basis when the CP receiving benefits assigns the rights to child support payments to the state and the payment is disbursed to the </w:t>
            </w:r>
            <w:r w:rsidRPr="00814A39">
              <w:rPr>
                <w:sz w:val="20"/>
                <w:szCs w:val="20"/>
              </w:rPr>
              <w:lastRenderedPageBreak/>
              <w:t>IV-A agency. Access to all FTI maintained in the CP’s child support record is prohibited. Only FTI associated with the payment disbursed may be disclosed</w:t>
            </w:r>
            <w:r w:rsidR="008E7DF3">
              <w:rPr>
                <w:sz w:val="20"/>
                <w:szCs w:val="20"/>
              </w:rPr>
              <w:t>.</w:t>
            </w:r>
            <w:r w:rsidRPr="00814A39">
              <w:rPr>
                <w:sz w:val="20"/>
                <w:szCs w:val="20"/>
              </w:rPr>
              <w:t xml:space="preserve"> </w:t>
            </w:r>
            <w:r w:rsidR="008E7DF3">
              <w:rPr>
                <w:sz w:val="20"/>
                <w:szCs w:val="20"/>
              </w:rPr>
              <w:t>D</w:t>
            </w:r>
            <w:r w:rsidRPr="00814A39">
              <w:rPr>
                <w:sz w:val="20"/>
                <w:szCs w:val="20"/>
              </w:rPr>
              <w:t>isclosure must be accompanied by a notice that the data cannot be used for any other purpose, including eligibility determinations</w:t>
            </w:r>
            <w:r w:rsidR="008E7DF3">
              <w:rPr>
                <w:sz w:val="20"/>
                <w:szCs w:val="20"/>
              </w:rPr>
              <w:t>,</w:t>
            </w:r>
            <w:r w:rsidRPr="00814A39">
              <w:rPr>
                <w:sz w:val="20"/>
                <w:szCs w:val="20"/>
              </w:rPr>
              <w:t xml:space="preserve"> and cannot be re-disclosed for any purpose.  </w:t>
            </w:r>
          </w:p>
        </w:tc>
      </w:tr>
      <w:tr w:rsidR="00B10308" w:rsidRPr="00814A39" w:rsidTr="00185A39">
        <w:tc>
          <w:tcPr>
            <w:tcW w:w="2652" w:type="dxa"/>
          </w:tcPr>
          <w:p w:rsidR="00B10308" w:rsidRPr="00814A39" w:rsidRDefault="00B10308" w:rsidP="00656A24">
            <w:pPr>
              <w:spacing w:before="60" w:after="60"/>
              <w:rPr>
                <w:sz w:val="20"/>
                <w:szCs w:val="20"/>
              </w:rPr>
            </w:pPr>
            <w:r w:rsidRPr="00814A39">
              <w:rPr>
                <w:sz w:val="20"/>
                <w:szCs w:val="20"/>
              </w:rPr>
              <w:lastRenderedPageBreak/>
              <w:t>Contractors engaged in locating absent parents</w:t>
            </w:r>
            <w:r w:rsidR="008E7DF3">
              <w:rPr>
                <w:sz w:val="20"/>
                <w:szCs w:val="20"/>
              </w:rPr>
              <w:t>,</w:t>
            </w:r>
            <w:r w:rsidRPr="00814A39">
              <w:rPr>
                <w:sz w:val="20"/>
                <w:szCs w:val="20"/>
              </w:rPr>
              <w:t xml:space="preserve"> establishing or collecting child support obligations</w:t>
            </w:r>
            <w:r w:rsidR="008E7DF3">
              <w:rPr>
                <w:sz w:val="20"/>
                <w:szCs w:val="20"/>
              </w:rPr>
              <w:t>,</w:t>
            </w:r>
            <w:r w:rsidR="006623F6">
              <w:rPr>
                <w:sz w:val="20"/>
                <w:szCs w:val="20"/>
              </w:rPr>
              <w:t xml:space="preserve"> and/or performing </w:t>
            </w:r>
            <w:r w:rsidR="00B906A4">
              <w:rPr>
                <w:sz w:val="20"/>
                <w:szCs w:val="20"/>
              </w:rPr>
              <w:t>delegated IV-D child support enforcement functions</w:t>
            </w:r>
          </w:p>
          <w:p w:rsidR="00B10308" w:rsidRPr="00814A39" w:rsidRDefault="00B10308" w:rsidP="00656A24">
            <w:pPr>
              <w:spacing w:before="60" w:after="60"/>
              <w:rPr>
                <w:sz w:val="20"/>
                <w:szCs w:val="20"/>
              </w:rPr>
            </w:pPr>
          </w:p>
          <w:p w:rsidR="00B10308" w:rsidRDefault="00B10308" w:rsidP="00411EAC">
            <w:pPr>
              <w:spacing w:before="60" w:after="60"/>
              <w:rPr>
                <w:sz w:val="20"/>
                <w:szCs w:val="20"/>
              </w:rPr>
            </w:pPr>
            <w:r w:rsidRPr="00411EAC">
              <w:rPr>
                <w:sz w:val="20"/>
                <w:szCs w:val="20"/>
                <w:u w:val="single"/>
              </w:rPr>
              <w:t>Examples</w:t>
            </w:r>
            <w:r>
              <w:rPr>
                <w:sz w:val="20"/>
                <w:szCs w:val="20"/>
                <w:u w:val="single"/>
              </w:rPr>
              <w:t>*</w:t>
            </w:r>
            <w:r w:rsidRPr="00411EAC">
              <w:rPr>
                <w:sz w:val="20"/>
                <w:szCs w:val="20"/>
                <w:u w:val="single"/>
              </w:rPr>
              <w:t>:</w:t>
            </w:r>
            <w:r w:rsidRPr="00411EAC">
              <w:rPr>
                <w:sz w:val="20"/>
                <w:szCs w:val="20"/>
              </w:rPr>
              <w:t xml:space="preserve"> </w:t>
            </w:r>
          </w:p>
          <w:p w:rsidR="00B10308" w:rsidRDefault="00B10308" w:rsidP="00DD3F36">
            <w:pPr>
              <w:pStyle w:val="ListParagraph"/>
              <w:numPr>
                <w:ilvl w:val="0"/>
                <w:numId w:val="8"/>
              </w:numPr>
              <w:spacing w:before="60" w:after="60"/>
              <w:rPr>
                <w:sz w:val="20"/>
                <w:szCs w:val="20"/>
              </w:rPr>
            </w:pPr>
            <w:r>
              <w:rPr>
                <w:sz w:val="20"/>
                <w:szCs w:val="20"/>
              </w:rPr>
              <w:t>Vendor</w:t>
            </w:r>
            <w:r w:rsidR="00671B87">
              <w:rPr>
                <w:sz w:val="20"/>
                <w:szCs w:val="20"/>
              </w:rPr>
              <w:t>-</w:t>
            </w:r>
            <w:r>
              <w:rPr>
                <w:sz w:val="20"/>
                <w:szCs w:val="20"/>
              </w:rPr>
              <w:t>contracted SDUs</w:t>
            </w:r>
          </w:p>
          <w:p w:rsidR="00B10308" w:rsidRDefault="00B10308" w:rsidP="00DD3F36">
            <w:pPr>
              <w:pStyle w:val="ListParagraph"/>
              <w:numPr>
                <w:ilvl w:val="0"/>
                <w:numId w:val="8"/>
              </w:numPr>
              <w:spacing w:before="60" w:after="60"/>
              <w:rPr>
                <w:sz w:val="20"/>
                <w:szCs w:val="20"/>
              </w:rPr>
            </w:pPr>
            <w:r>
              <w:rPr>
                <w:sz w:val="20"/>
                <w:szCs w:val="20"/>
              </w:rPr>
              <w:t>P</w:t>
            </w:r>
            <w:r w:rsidRPr="00411EAC">
              <w:rPr>
                <w:sz w:val="20"/>
                <w:szCs w:val="20"/>
              </w:rPr>
              <w:t>rivatized child support agencies providing I</w:t>
            </w:r>
            <w:r>
              <w:rPr>
                <w:sz w:val="20"/>
                <w:szCs w:val="20"/>
              </w:rPr>
              <w:t>V-D services under contract</w:t>
            </w:r>
          </w:p>
          <w:p w:rsidR="00B10308" w:rsidRPr="00411EAC" w:rsidRDefault="00B10308" w:rsidP="00411EAC">
            <w:pPr>
              <w:pStyle w:val="ListParagraph"/>
              <w:numPr>
                <w:ilvl w:val="0"/>
                <w:numId w:val="8"/>
              </w:numPr>
              <w:spacing w:before="60" w:after="60"/>
              <w:rPr>
                <w:sz w:val="20"/>
                <w:szCs w:val="20"/>
              </w:rPr>
            </w:pPr>
            <w:r>
              <w:rPr>
                <w:sz w:val="20"/>
                <w:szCs w:val="20"/>
              </w:rPr>
              <w:t>C</w:t>
            </w:r>
            <w:r w:rsidRPr="00411EAC">
              <w:rPr>
                <w:sz w:val="20"/>
                <w:szCs w:val="20"/>
              </w:rPr>
              <w:t xml:space="preserve">ontractors for development of software or system maintenance </w:t>
            </w:r>
          </w:p>
          <w:p w:rsidR="00B10308" w:rsidRDefault="00B10308" w:rsidP="00411EAC">
            <w:pPr>
              <w:spacing w:before="60" w:after="60"/>
              <w:rPr>
                <w:sz w:val="20"/>
                <w:szCs w:val="20"/>
              </w:rPr>
            </w:pPr>
          </w:p>
          <w:p w:rsidR="00B10308" w:rsidRPr="00814A39" w:rsidRDefault="001574A6" w:rsidP="00DD3F36">
            <w:pPr>
              <w:spacing w:before="60" w:after="60"/>
              <w:rPr>
                <w:sz w:val="20"/>
                <w:szCs w:val="20"/>
              </w:rPr>
            </w:pPr>
            <w:r>
              <w:rPr>
                <w:sz w:val="20"/>
                <w:szCs w:val="20"/>
              </w:rPr>
              <w:t xml:space="preserve">*IRS wants to discuss </w:t>
            </w:r>
            <w:r w:rsidR="00B10308">
              <w:rPr>
                <w:sz w:val="20"/>
                <w:szCs w:val="20"/>
              </w:rPr>
              <w:t xml:space="preserve">the examples under this category further </w:t>
            </w:r>
          </w:p>
        </w:tc>
        <w:tc>
          <w:tcPr>
            <w:tcW w:w="4026" w:type="dxa"/>
          </w:tcPr>
          <w:p w:rsidR="00B10308" w:rsidRPr="00814A39" w:rsidRDefault="00B10308" w:rsidP="00656A24">
            <w:pPr>
              <w:spacing w:before="60" w:after="60"/>
              <w:rPr>
                <w:sz w:val="20"/>
                <w:szCs w:val="20"/>
              </w:rPr>
            </w:pPr>
            <w:r w:rsidRPr="00814A39">
              <w:rPr>
                <w:sz w:val="20"/>
                <w:szCs w:val="20"/>
              </w:rPr>
              <w:t>The 3 data elements of FTI authorized by IRC 6103(l)(6)(B) in conjunction with IRC 6103(l)(10) may be disclosed: Address, SSN, and amount of the offset</w:t>
            </w:r>
            <w:r>
              <w:rPr>
                <w:sz w:val="20"/>
                <w:szCs w:val="20"/>
              </w:rPr>
              <w:t xml:space="preserve"> (includes payment source)</w:t>
            </w:r>
            <w:r w:rsidR="008E7DF3">
              <w:rPr>
                <w:rStyle w:val="EndnoteReference"/>
                <w:sz w:val="20"/>
                <w:szCs w:val="20"/>
              </w:rPr>
              <w:endnoteReference w:id="1"/>
            </w:r>
            <w:r w:rsidR="008E7DF3">
              <w:rPr>
                <w:sz w:val="20"/>
                <w:szCs w:val="20"/>
              </w:rPr>
              <w:t>.</w:t>
            </w:r>
          </w:p>
          <w:p w:rsidR="00B10308" w:rsidRPr="00814A39" w:rsidRDefault="00B10308" w:rsidP="00656A24">
            <w:pPr>
              <w:spacing w:before="60" w:after="60"/>
              <w:rPr>
                <w:sz w:val="20"/>
                <w:szCs w:val="20"/>
              </w:rPr>
            </w:pPr>
          </w:p>
        </w:tc>
        <w:tc>
          <w:tcPr>
            <w:tcW w:w="6840" w:type="dxa"/>
          </w:tcPr>
          <w:p w:rsidR="00B10308" w:rsidRDefault="00B10308" w:rsidP="004523CC">
            <w:pPr>
              <w:spacing w:before="60" w:after="60"/>
              <w:rPr>
                <w:sz w:val="20"/>
                <w:szCs w:val="20"/>
              </w:rPr>
            </w:pPr>
            <w:r w:rsidRPr="00814A39">
              <w:rPr>
                <w:sz w:val="20"/>
                <w:szCs w:val="20"/>
              </w:rPr>
              <w:t xml:space="preserve">Disclosure is authorized only to contractors directly engaged in locating absent parents or collecting child support debt.  </w:t>
            </w:r>
          </w:p>
          <w:p w:rsidR="00671B87" w:rsidRPr="00814A39" w:rsidRDefault="00671B87" w:rsidP="004523CC">
            <w:pPr>
              <w:spacing w:before="60" w:after="60"/>
              <w:rPr>
                <w:sz w:val="20"/>
                <w:szCs w:val="20"/>
              </w:rPr>
            </w:pPr>
          </w:p>
          <w:p w:rsidR="00B10308" w:rsidRPr="00814A39" w:rsidRDefault="00B10308" w:rsidP="00656A24">
            <w:pPr>
              <w:spacing w:before="60" w:after="60"/>
              <w:rPr>
                <w:sz w:val="20"/>
                <w:szCs w:val="20"/>
              </w:rPr>
            </w:pPr>
            <w:r w:rsidRPr="00814A39">
              <w:rPr>
                <w:sz w:val="20"/>
                <w:szCs w:val="20"/>
              </w:rPr>
              <w:t xml:space="preserve">FTI must be protected from disclosure to all contractors who are not directly engaged in locating individuals or collecting child support obligations since these contractors do not need access </w:t>
            </w:r>
            <w:r w:rsidR="00671B87">
              <w:rPr>
                <w:sz w:val="20"/>
                <w:szCs w:val="20"/>
              </w:rPr>
              <w:t>to FTI to perform their duties—</w:t>
            </w:r>
            <w:r w:rsidRPr="00814A39">
              <w:rPr>
                <w:sz w:val="20"/>
                <w:szCs w:val="20"/>
              </w:rPr>
              <w:t>for example guard and janitorial services, offsite storage facilities, hardware maintenance vendors</w:t>
            </w:r>
            <w:r w:rsidR="00671B87">
              <w:rPr>
                <w:sz w:val="20"/>
                <w:szCs w:val="20"/>
              </w:rPr>
              <w:t>,</w:t>
            </w:r>
            <w:r w:rsidRPr="00814A39">
              <w:rPr>
                <w:sz w:val="20"/>
                <w:szCs w:val="20"/>
              </w:rPr>
              <w:t xml:space="preserve"> and disposal contractors. Contracts for these services may not include provisions requiring (or authorizing) access to FTI.</w:t>
            </w:r>
          </w:p>
        </w:tc>
      </w:tr>
      <w:tr w:rsidR="00B10308" w:rsidRPr="00814A39" w:rsidTr="00185A39">
        <w:tc>
          <w:tcPr>
            <w:tcW w:w="2652" w:type="dxa"/>
          </w:tcPr>
          <w:p w:rsidR="00B10308" w:rsidRDefault="00B10308" w:rsidP="00656A24">
            <w:pPr>
              <w:spacing w:before="60" w:after="60"/>
              <w:rPr>
                <w:sz w:val="20"/>
                <w:szCs w:val="20"/>
              </w:rPr>
            </w:pPr>
            <w:r w:rsidRPr="00814A39">
              <w:rPr>
                <w:sz w:val="20"/>
                <w:szCs w:val="20"/>
              </w:rPr>
              <w:t>IV-D Administrators</w:t>
            </w:r>
            <w:r w:rsidR="006623F6">
              <w:rPr>
                <w:sz w:val="20"/>
                <w:szCs w:val="20"/>
              </w:rPr>
              <w:t>-Government entities performing delegated IV-D child support enforcement functions</w:t>
            </w:r>
          </w:p>
          <w:p w:rsidR="00B10308" w:rsidRDefault="00B10308" w:rsidP="00656A24">
            <w:pPr>
              <w:spacing w:before="60" w:after="60"/>
              <w:rPr>
                <w:sz w:val="20"/>
                <w:szCs w:val="20"/>
              </w:rPr>
            </w:pPr>
          </w:p>
          <w:p w:rsidR="00B10308" w:rsidRPr="005242E5" w:rsidRDefault="00B10308" w:rsidP="00656A24">
            <w:pPr>
              <w:spacing w:before="60" w:after="60"/>
              <w:rPr>
                <w:sz w:val="20"/>
                <w:szCs w:val="20"/>
                <w:u w:val="single"/>
              </w:rPr>
            </w:pPr>
            <w:r w:rsidRPr="005242E5">
              <w:rPr>
                <w:sz w:val="20"/>
                <w:szCs w:val="20"/>
                <w:u w:val="single"/>
              </w:rPr>
              <w:t>Examples</w:t>
            </w:r>
            <w:r>
              <w:rPr>
                <w:sz w:val="20"/>
                <w:szCs w:val="20"/>
                <w:u w:val="single"/>
              </w:rPr>
              <w:t>*</w:t>
            </w:r>
            <w:r w:rsidRPr="005242E5">
              <w:rPr>
                <w:sz w:val="20"/>
                <w:szCs w:val="20"/>
                <w:u w:val="single"/>
              </w:rPr>
              <w:t>:</w:t>
            </w:r>
          </w:p>
          <w:p w:rsidR="00B10308" w:rsidRPr="00814A39" w:rsidRDefault="00B10308" w:rsidP="006434A0">
            <w:pPr>
              <w:numPr>
                <w:ilvl w:val="0"/>
                <w:numId w:val="1"/>
              </w:numPr>
              <w:spacing w:before="60" w:after="60"/>
              <w:rPr>
                <w:sz w:val="20"/>
                <w:szCs w:val="20"/>
              </w:rPr>
            </w:pPr>
            <w:r w:rsidRPr="00814A39">
              <w:rPr>
                <w:sz w:val="20"/>
                <w:szCs w:val="20"/>
              </w:rPr>
              <w:t>Clerks of Court in role as cash disbursement unit</w:t>
            </w:r>
          </w:p>
          <w:p w:rsidR="00B10308" w:rsidRDefault="00B10308" w:rsidP="006434A0">
            <w:pPr>
              <w:numPr>
                <w:ilvl w:val="0"/>
                <w:numId w:val="1"/>
              </w:numPr>
              <w:spacing w:before="60" w:after="60"/>
              <w:rPr>
                <w:sz w:val="20"/>
                <w:szCs w:val="20"/>
              </w:rPr>
            </w:pPr>
            <w:r w:rsidRPr="00814A39">
              <w:rPr>
                <w:sz w:val="20"/>
                <w:szCs w:val="20"/>
              </w:rPr>
              <w:t>State</w:t>
            </w:r>
            <w:r w:rsidR="00671B87">
              <w:rPr>
                <w:sz w:val="20"/>
                <w:szCs w:val="20"/>
              </w:rPr>
              <w:t>-</w:t>
            </w:r>
            <w:r w:rsidRPr="00814A39">
              <w:rPr>
                <w:sz w:val="20"/>
                <w:szCs w:val="20"/>
              </w:rPr>
              <w:t>run consolidated data centers providing IT support</w:t>
            </w:r>
          </w:p>
          <w:p w:rsidR="00B10308" w:rsidRPr="00411EAC" w:rsidRDefault="00B10308" w:rsidP="006434A0">
            <w:pPr>
              <w:numPr>
                <w:ilvl w:val="0"/>
                <w:numId w:val="1"/>
              </w:numPr>
              <w:spacing w:before="60" w:after="60"/>
              <w:rPr>
                <w:sz w:val="20"/>
                <w:szCs w:val="20"/>
              </w:rPr>
            </w:pPr>
            <w:r w:rsidRPr="00411EAC">
              <w:rPr>
                <w:sz w:val="20"/>
                <w:szCs w:val="20"/>
              </w:rPr>
              <w:t>Friends of the Court</w:t>
            </w:r>
          </w:p>
          <w:p w:rsidR="00B10308" w:rsidRPr="00411EAC" w:rsidRDefault="00B10308" w:rsidP="006434A0">
            <w:pPr>
              <w:numPr>
                <w:ilvl w:val="0"/>
                <w:numId w:val="1"/>
              </w:numPr>
              <w:spacing w:before="60" w:after="60"/>
              <w:rPr>
                <w:sz w:val="20"/>
                <w:szCs w:val="20"/>
              </w:rPr>
            </w:pPr>
            <w:r w:rsidRPr="00411EAC">
              <w:rPr>
                <w:sz w:val="20"/>
                <w:szCs w:val="20"/>
              </w:rPr>
              <w:t>State and local government employees, including attorneys,  performing IV-D functions</w:t>
            </w:r>
          </w:p>
          <w:p w:rsidR="00B10308" w:rsidRPr="00411EAC" w:rsidRDefault="00B10308" w:rsidP="006434A0">
            <w:pPr>
              <w:numPr>
                <w:ilvl w:val="0"/>
                <w:numId w:val="1"/>
              </w:numPr>
              <w:spacing w:before="60" w:after="60"/>
              <w:rPr>
                <w:sz w:val="20"/>
                <w:szCs w:val="20"/>
              </w:rPr>
            </w:pPr>
            <w:r w:rsidRPr="00411EAC">
              <w:rPr>
                <w:sz w:val="20"/>
                <w:szCs w:val="20"/>
              </w:rPr>
              <w:t>State self-assessment staff</w:t>
            </w:r>
          </w:p>
          <w:p w:rsidR="00B10308" w:rsidRDefault="00B10308" w:rsidP="00303CDB">
            <w:pPr>
              <w:spacing w:before="60" w:after="60"/>
              <w:rPr>
                <w:sz w:val="20"/>
                <w:szCs w:val="20"/>
              </w:rPr>
            </w:pPr>
          </w:p>
          <w:p w:rsidR="00B10308" w:rsidRPr="00814A39" w:rsidRDefault="00B10308" w:rsidP="001574A6">
            <w:pPr>
              <w:spacing w:before="60" w:after="60"/>
              <w:rPr>
                <w:sz w:val="20"/>
                <w:szCs w:val="20"/>
              </w:rPr>
            </w:pPr>
            <w:r>
              <w:rPr>
                <w:sz w:val="20"/>
                <w:szCs w:val="20"/>
              </w:rPr>
              <w:t xml:space="preserve">*IRS </w:t>
            </w:r>
            <w:r w:rsidR="001574A6">
              <w:rPr>
                <w:sz w:val="20"/>
                <w:szCs w:val="20"/>
              </w:rPr>
              <w:t>wants to discuss the examples of this category further</w:t>
            </w:r>
          </w:p>
        </w:tc>
        <w:tc>
          <w:tcPr>
            <w:tcW w:w="4026" w:type="dxa"/>
          </w:tcPr>
          <w:p w:rsidR="00B10308" w:rsidRPr="00814A39" w:rsidRDefault="00B10308" w:rsidP="00656A24">
            <w:pPr>
              <w:spacing w:before="60" w:after="60"/>
              <w:rPr>
                <w:sz w:val="20"/>
                <w:szCs w:val="20"/>
              </w:rPr>
            </w:pPr>
            <w:r w:rsidRPr="00814A39">
              <w:rPr>
                <w:sz w:val="20"/>
                <w:szCs w:val="20"/>
              </w:rPr>
              <w:lastRenderedPageBreak/>
              <w:t xml:space="preserve">Access to all FTI in records of the IV-D </w:t>
            </w:r>
            <w:r w:rsidR="00671B87">
              <w:rPr>
                <w:sz w:val="20"/>
                <w:szCs w:val="20"/>
              </w:rPr>
              <w:t>child support agency,</w:t>
            </w:r>
            <w:r w:rsidRPr="00814A39">
              <w:rPr>
                <w:sz w:val="20"/>
                <w:szCs w:val="20"/>
              </w:rPr>
              <w:t xml:space="preserve"> including</w:t>
            </w:r>
            <w:r w:rsidR="00671B87">
              <w:rPr>
                <w:sz w:val="20"/>
                <w:szCs w:val="20"/>
              </w:rPr>
              <w:t xml:space="preserve"> amount &amp; date of refund offset</w:t>
            </w:r>
            <w:r w:rsidRPr="00814A39">
              <w:rPr>
                <w:sz w:val="20"/>
                <w:szCs w:val="20"/>
              </w:rPr>
              <w:t xml:space="preserve"> </w:t>
            </w:r>
            <w:r w:rsidR="00671B87">
              <w:rPr>
                <w:sz w:val="20"/>
                <w:szCs w:val="20"/>
              </w:rPr>
              <w:t>(</w:t>
            </w:r>
            <w:r w:rsidRPr="00814A39">
              <w:rPr>
                <w:sz w:val="20"/>
                <w:szCs w:val="20"/>
              </w:rPr>
              <w:t>wage and locator information secured via FPLS</w:t>
            </w:r>
            <w:r w:rsidR="00671B87">
              <w:rPr>
                <w:sz w:val="20"/>
                <w:szCs w:val="20"/>
              </w:rPr>
              <w:t>).</w:t>
            </w:r>
          </w:p>
        </w:tc>
        <w:tc>
          <w:tcPr>
            <w:tcW w:w="6840" w:type="dxa"/>
          </w:tcPr>
          <w:p w:rsidR="00B10308" w:rsidRPr="00814A39" w:rsidRDefault="00B10308" w:rsidP="009C7110">
            <w:pPr>
              <w:spacing w:before="60" w:after="60"/>
              <w:rPr>
                <w:sz w:val="20"/>
                <w:szCs w:val="20"/>
              </w:rPr>
            </w:pPr>
            <w:r w:rsidRPr="001B5553">
              <w:rPr>
                <w:sz w:val="20"/>
                <w:szCs w:val="20"/>
              </w:rPr>
              <w:t>Government</w:t>
            </w:r>
            <w:r>
              <w:rPr>
                <w:sz w:val="20"/>
                <w:szCs w:val="20"/>
              </w:rPr>
              <w:t xml:space="preserve"> e</w:t>
            </w:r>
            <w:r w:rsidRPr="00814A39">
              <w:rPr>
                <w:sz w:val="20"/>
                <w:szCs w:val="20"/>
              </w:rPr>
              <w:t xml:space="preserve">ntities performing IV-D child support enforcement services in support of the qualified IV-D state </w:t>
            </w:r>
            <w:r w:rsidR="00671B87">
              <w:rPr>
                <w:sz w:val="20"/>
                <w:szCs w:val="20"/>
              </w:rPr>
              <w:t>child support agency</w:t>
            </w:r>
            <w:r w:rsidRPr="00814A39">
              <w:rPr>
                <w:sz w:val="20"/>
                <w:szCs w:val="20"/>
              </w:rPr>
              <w:t xml:space="preserve"> but not employees of the state IV-D agency.  This applies where state law grants authority to perform specific duties associated with the administration of child support enforcement responsibilities to another legal entity within the state, </w:t>
            </w:r>
            <w:r w:rsidRPr="00814A39">
              <w:rPr>
                <w:sz w:val="20"/>
                <w:szCs w:val="20"/>
              </w:rPr>
              <w:lastRenderedPageBreak/>
              <w:t xml:space="preserve">therefore no contract (with compensation) for services exists.  These entities may have access to FTI to perform their IV-D function, as long as a Service Level Agreement (SLA) is implemented (as required by Publication 1075) to ensure the safeguard requirements flow with the data and confidentiality of FTI is maintained at the same level as at the state </w:t>
            </w:r>
            <w:r w:rsidR="00671B87">
              <w:rPr>
                <w:sz w:val="20"/>
                <w:szCs w:val="20"/>
              </w:rPr>
              <w:t>child support agency</w:t>
            </w:r>
            <w:r w:rsidRPr="00814A39">
              <w:rPr>
                <w:sz w:val="20"/>
                <w:szCs w:val="20"/>
              </w:rPr>
              <w:t>.</w:t>
            </w:r>
          </w:p>
        </w:tc>
      </w:tr>
      <w:tr w:rsidR="00B10308" w:rsidRPr="00814A39" w:rsidTr="00185A39">
        <w:tc>
          <w:tcPr>
            <w:tcW w:w="2652" w:type="dxa"/>
            <w:tcBorders>
              <w:bottom w:val="single" w:sz="4" w:space="0" w:color="auto"/>
            </w:tcBorders>
          </w:tcPr>
          <w:p w:rsidR="00B10308" w:rsidRPr="00814A39" w:rsidRDefault="00B10308" w:rsidP="00656A24">
            <w:pPr>
              <w:spacing w:before="60" w:after="60"/>
              <w:rPr>
                <w:sz w:val="20"/>
                <w:szCs w:val="20"/>
              </w:rPr>
            </w:pPr>
            <w:r w:rsidRPr="00814A39">
              <w:rPr>
                <w:sz w:val="20"/>
                <w:szCs w:val="20"/>
              </w:rPr>
              <w:lastRenderedPageBreak/>
              <w:t xml:space="preserve">Powers of Attorneys/Legal Guardians/Interpreters </w:t>
            </w:r>
          </w:p>
          <w:p w:rsidR="00B10308" w:rsidRPr="00814A39" w:rsidRDefault="00B10308" w:rsidP="00656A24">
            <w:pPr>
              <w:spacing w:before="60" w:after="60"/>
              <w:rPr>
                <w:sz w:val="20"/>
                <w:szCs w:val="20"/>
              </w:rPr>
            </w:pPr>
          </w:p>
          <w:p w:rsidR="00B10308" w:rsidRPr="00814A39" w:rsidRDefault="00B10308" w:rsidP="00656A24">
            <w:pPr>
              <w:spacing w:before="60" w:after="60"/>
              <w:rPr>
                <w:sz w:val="20"/>
                <w:szCs w:val="20"/>
              </w:rPr>
            </w:pPr>
          </w:p>
          <w:p w:rsidR="00B10308" w:rsidRPr="00814A39" w:rsidRDefault="00B10308" w:rsidP="00656A24">
            <w:pPr>
              <w:spacing w:before="60" w:after="60"/>
              <w:rPr>
                <w:sz w:val="20"/>
                <w:szCs w:val="20"/>
              </w:rPr>
            </w:pPr>
          </w:p>
        </w:tc>
        <w:tc>
          <w:tcPr>
            <w:tcW w:w="4026" w:type="dxa"/>
            <w:tcBorders>
              <w:bottom w:val="single" w:sz="4" w:space="0" w:color="auto"/>
            </w:tcBorders>
          </w:tcPr>
          <w:p w:rsidR="00B10308" w:rsidRPr="00814A39" w:rsidRDefault="00B10308" w:rsidP="00656A24">
            <w:pPr>
              <w:spacing w:before="60" w:after="60"/>
              <w:rPr>
                <w:sz w:val="20"/>
                <w:szCs w:val="20"/>
              </w:rPr>
            </w:pPr>
            <w:r w:rsidRPr="00814A39">
              <w:rPr>
                <w:sz w:val="20"/>
                <w:szCs w:val="20"/>
              </w:rPr>
              <w:t>The FTI authorized for disclosure to the CP, if representing the CP.</w:t>
            </w:r>
          </w:p>
          <w:p w:rsidR="00B10308" w:rsidRPr="00814A39" w:rsidRDefault="00B10308" w:rsidP="00656A24">
            <w:pPr>
              <w:spacing w:before="60" w:after="60"/>
              <w:rPr>
                <w:sz w:val="20"/>
                <w:szCs w:val="20"/>
              </w:rPr>
            </w:pPr>
          </w:p>
          <w:p w:rsidR="00B10308" w:rsidRPr="00814A39" w:rsidRDefault="00B10308" w:rsidP="00656A24">
            <w:pPr>
              <w:spacing w:before="60" w:after="60"/>
              <w:rPr>
                <w:sz w:val="20"/>
                <w:szCs w:val="20"/>
              </w:rPr>
            </w:pPr>
            <w:r w:rsidRPr="00814A39">
              <w:rPr>
                <w:sz w:val="20"/>
                <w:szCs w:val="20"/>
              </w:rPr>
              <w:t xml:space="preserve">FTI authorized for disclosure to the NCP, if representing the NCP. </w:t>
            </w:r>
          </w:p>
        </w:tc>
        <w:tc>
          <w:tcPr>
            <w:tcW w:w="6840" w:type="dxa"/>
            <w:tcBorders>
              <w:bottom w:val="single" w:sz="4" w:space="0" w:color="auto"/>
            </w:tcBorders>
          </w:tcPr>
          <w:p w:rsidR="00B10308" w:rsidRPr="00814A39" w:rsidRDefault="00B10308" w:rsidP="00DF7C4E">
            <w:pPr>
              <w:spacing w:before="120" w:after="120"/>
              <w:rPr>
                <w:sz w:val="20"/>
                <w:szCs w:val="20"/>
              </w:rPr>
            </w:pPr>
            <w:r w:rsidRPr="00814A39">
              <w:rPr>
                <w:sz w:val="20"/>
                <w:szCs w:val="20"/>
              </w:rPr>
              <w:t>Written authorization must meet state statute requirements for representation and must either specifically include child support matters or be a general power of attorney for all representation. The CP may aut</w:t>
            </w:r>
            <w:r>
              <w:rPr>
                <w:sz w:val="20"/>
                <w:szCs w:val="20"/>
              </w:rPr>
              <w:t xml:space="preserve">horize only those third parties legally acting as the CP, such as the POA or legal guardian </w:t>
            </w:r>
            <w:r w:rsidRPr="009572CB">
              <w:rPr>
                <w:sz w:val="20"/>
                <w:szCs w:val="20"/>
              </w:rPr>
              <w:t>as permitted under child support regulations</w:t>
            </w:r>
            <w:r w:rsidRPr="00814A39">
              <w:rPr>
                <w:sz w:val="20"/>
                <w:szCs w:val="20"/>
              </w:rPr>
              <w:t xml:space="preserve"> to have access to the NCP’s FTI.</w:t>
            </w:r>
          </w:p>
          <w:p w:rsidR="00B10308" w:rsidRDefault="00B10308" w:rsidP="00DF7C4E">
            <w:pPr>
              <w:spacing w:before="120" w:after="120"/>
              <w:rPr>
                <w:sz w:val="20"/>
                <w:szCs w:val="20"/>
              </w:rPr>
            </w:pPr>
            <w:r w:rsidRPr="00814A39">
              <w:rPr>
                <w:sz w:val="20"/>
                <w:szCs w:val="20"/>
              </w:rPr>
              <w:t xml:space="preserve">Interpreters may be used as a means to facilitate communication with the CP.  </w:t>
            </w:r>
          </w:p>
          <w:p w:rsidR="00B10308" w:rsidRPr="00814A39" w:rsidRDefault="00B10308" w:rsidP="00DF7C4E">
            <w:pPr>
              <w:spacing w:before="120" w:after="120"/>
              <w:rPr>
                <w:sz w:val="20"/>
                <w:szCs w:val="20"/>
              </w:rPr>
            </w:pPr>
          </w:p>
        </w:tc>
      </w:tr>
      <w:tr w:rsidR="00B10308" w:rsidRPr="00814A39" w:rsidTr="00185A39">
        <w:tc>
          <w:tcPr>
            <w:tcW w:w="2652" w:type="dxa"/>
            <w:tcBorders>
              <w:bottom w:val="single" w:sz="4" w:space="0" w:color="auto"/>
            </w:tcBorders>
          </w:tcPr>
          <w:p w:rsidR="00B10308" w:rsidRDefault="00671B87" w:rsidP="00656A24">
            <w:pPr>
              <w:spacing w:before="60" w:after="60"/>
              <w:rPr>
                <w:sz w:val="20"/>
                <w:szCs w:val="20"/>
              </w:rPr>
            </w:pPr>
            <w:r>
              <w:rPr>
                <w:sz w:val="20"/>
                <w:szCs w:val="20"/>
              </w:rPr>
              <w:t>Non</w:t>
            </w:r>
            <w:r w:rsidR="00B10308" w:rsidRPr="00814A39">
              <w:rPr>
                <w:sz w:val="20"/>
                <w:szCs w:val="20"/>
              </w:rPr>
              <w:t>custodial parent</w:t>
            </w:r>
          </w:p>
          <w:p w:rsidR="00185A39" w:rsidRDefault="00185A39" w:rsidP="00656A24">
            <w:pPr>
              <w:spacing w:before="60" w:after="60"/>
              <w:rPr>
                <w:sz w:val="20"/>
                <w:szCs w:val="20"/>
              </w:rPr>
            </w:pPr>
          </w:p>
          <w:p w:rsidR="00185A39" w:rsidRDefault="00185A39" w:rsidP="00656A24">
            <w:pPr>
              <w:spacing w:before="60" w:after="60"/>
              <w:rPr>
                <w:sz w:val="20"/>
                <w:szCs w:val="20"/>
              </w:rPr>
            </w:pPr>
          </w:p>
          <w:p w:rsidR="00185A39" w:rsidRDefault="00185A39" w:rsidP="00656A24">
            <w:pPr>
              <w:spacing w:before="60" w:after="60"/>
              <w:rPr>
                <w:sz w:val="20"/>
                <w:szCs w:val="20"/>
              </w:rPr>
            </w:pPr>
          </w:p>
          <w:p w:rsidR="00185A39" w:rsidRPr="00814A39" w:rsidRDefault="00185A39" w:rsidP="00656A24">
            <w:pPr>
              <w:spacing w:before="60" w:after="60"/>
              <w:rPr>
                <w:sz w:val="20"/>
                <w:szCs w:val="20"/>
              </w:rPr>
            </w:pPr>
          </w:p>
        </w:tc>
        <w:tc>
          <w:tcPr>
            <w:tcW w:w="4026" w:type="dxa"/>
            <w:tcBorders>
              <w:bottom w:val="single" w:sz="4" w:space="0" w:color="auto"/>
            </w:tcBorders>
          </w:tcPr>
          <w:p w:rsidR="00B10308" w:rsidRPr="00814A39" w:rsidRDefault="00B10308" w:rsidP="00656A24">
            <w:pPr>
              <w:spacing w:before="60" w:after="60"/>
              <w:rPr>
                <w:sz w:val="20"/>
                <w:szCs w:val="20"/>
              </w:rPr>
            </w:pPr>
            <w:r w:rsidRPr="00814A39">
              <w:rPr>
                <w:sz w:val="20"/>
                <w:szCs w:val="20"/>
              </w:rPr>
              <w:lastRenderedPageBreak/>
              <w:t xml:space="preserve">Any FTI of the NCP.  </w:t>
            </w:r>
          </w:p>
        </w:tc>
        <w:tc>
          <w:tcPr>
            <w:tcW w:w="6840" w:type="dxa"/>
            <w:tcBorders>
              <w:bottom w:val="single" w:sz="4" w:space="0" w:color="auto"/>
            </w:tcBorders>
          </w:tcPr>
          <w:p w:rsidR="00B10308" w:rsidRPr="00814A39" w:rsidRDefault="00B10308" w:rsidP="00292359">
            <w:pPr>
              <w:spacing w:before="120" w:after="120"/>
              <w:rPr>
                <w:sz w:val="20"/>
                <w:szCs w:val="20"/>
              </w:rPr>
            </w:pPr>
            <w:r w:rsidRPr="00814A39">
              <w:rPr>
                <w:sz w:val="20"/>
                <w:szCs w:val="20"/>
              </w:rPr>
              <w:t xml:space="preserve">The NCP has the right of access to FTI maintained about him/her in the </w:t>
            </w:r>
            <w:r w:rsidR="00671B87">
              <w:rPr>
                <w:sz w:val="20"/>
                <w:szCs w:val="20"/>
              </w:rPr>
              <w:t>child support agency</w:t>
            </w:r>
            <w:r w:rsidRPr="00814A39">
              <w:rPr>
                <w:sz w:val="20"/>
                <w:szCs w:val="20"/>
              </w:rPr>
              <w:t xml:space="preserve">’s files.  Rules pertaining to POA above apply.  </w:t>
            </w:r>
          </w:p>
        </w:tc>
      </w:tr>
      <w:tr w:rsidR="00B10308" w:rsidRPr="00814A39" w:rsidTr="00671B87">
        <w:trPr>
          <w:trHeight w:val="1304"/>
        </w:trPr>
        <w:tc>
          <w:tcPr>
            <w:tcW w:w="2652" w:type="dxa"/>
          </w:tcPr>
          <w:p w:rsidR="00B10308" w:rsidRDefault="00B10308" w:rsidP="00656A24">
            <w:pPr>
              <w:spacing w:before="60" w:after="60"/>
              <w:rPr>
                <w:sz w:val="20"/>
                <w:szCs w:val="20"/>
              </w:rPr>
            </w:pPr>
            <w:r w:rsidRPr="00814A39">
              <w:rPr>
                <w:sz w:val="20"/>
                <w:szCs w:val="20"/>
              </w:rPr>
              <w:lastRenderedPageBreak/>
              <w:t>Offsite Storage Facilities</w:t>
            </w:r>
          </w:p>
          <w:p w:rsidR="00B10308" w:rsidRPr="00814A39" w:rsidRDefault="00671B87" w:rsidP="00671B87">
            <w:pPr>
              <w:spacing w:before="60" w:after="60"/>
              <w:rPr>
                <w:sz w:val="20"/>
                <w:szCs w:val="20"/>
              </w:rPr>
            </w:pPr>
            <w:r>
              <w:rPr>
                <w:sz w:val="20"/>
                <w:szCs w:val="20"/>
              </w:rPr>
              <w:t>(For example</w:t>
            </w:r>
            <w:r w:rsidR="00B10308">
              <w:rPr>
                <w:sz w:val="20"/>
                <w:szCs w:val="20"/>
              </w:rPr>
              <w:t>, Iron Mountain)</w:t>
            </w:r>
          </w:p>
        </w:tc>
        <w:tc>
          <w:tcPr>
            <w:tcW w:w="4026" w:type="dxa"/>
          </w:tcPr>
          <w:p w:rsidR="00B10308" w:rsidRPr="00814A39" w:rsidRDefault="00B10308" w:rsidP="00656A24">
            <w:pPr>
              <w:spacing w:before="60" w:after="60"/>
              <w:rPr>
                <w:sz w:val="20"/>
                <w:szCs w:val="20"/>
              </w:rPr>
            </w:pPr>
            <w:r w:rsidRPr="00814A39">
              <w:rPr>
                <w:sz w:val="20"/>
                <w:szCs w:val="20"/>
              </w:rPr>
              <w:t>None</w:t>
            </w:r>
          </w:p>
          <w:p w:rsidR="00B10308" w:rsidRPr="00814A39" w:rsidRDefault="00B10308" w:rsidP="00656A24">
            <w:pPr>
              <w:spacing w:before="60" w:after="60"/>
              <w:rPr>
                <w:sz w:val="20"/>
                <w:szCs w:val="20"/>
              </w:rPr>
            </w:pPr>
          </w:p>
        </w:tc>
        <w:tc>
          <w:tcPr>
            <w:tcW w:w="6840" w:type="dxa"/>
          </w:tcPr>
          <w:p w:rsidR="00B10308" w:rsidRPr="00814A39" w:rsidRDefault="00B10308" w:rsidP="00B96F01">
            <w:pPr>
              <w:spacing w:before="120" w:after="120"/>
              <w:rPr>
                <w:sz w:val="20"/>
                <w:szCs w:val="20"/>
              </w:rPr>
            </w:pPr>
            <w:r w:rsidRPr="00814A39">
              <w:rPr>
                <w:sz w:val="20"/>
                <w:szCs w:val="20"/>
              </w:rPr>
              <w:t>Backup tapes or other electronic media containing FTI sent to offsite storage facilities must be secured from potential access by unauthorized individuals.  Backup media containing FTI must be securely transmitted, receipt acknowledged, inventoried</w:t>
            </w:r>
            <w:r w:rsidR="00671B87">
              <w:rPr>
                <w:sz w:val="20"/>
                <w:szCs w:val="20"/>
              </w:rPr>
              <w:t>,</w:t>
            </w:r>
            <w:r w:rsidRPr="00814A39">
              <w:rPr>
                <w:sz w:val="20"/>
                <w:szCs w:val="20"/>
              </w:rPr>
              <w:t xml:space="preserve"> and securely stored to prevent unauthorized access.   </w:t>
            </w:r>
          </w:p>
        </w:tc>
      </w:tr>
      <w:tr w:rsidR="00B10308" w:rsidRPr="00814A39" w:rsidTr="00185A39">
        <w:tc>
          <w:tcPr>
            <w:tcW w:w="2652" w:type="dxa"/>
          </w:tcPr>
          <w:p w:rsidR="00B10308" w:rsidRDefault="00B10308" w:rsidP="00656A24">
            <w:pPr>
              <w:spacing w:before="60" w:after="60"/>
              <w:rPr>
                <w:sz w:val="20"/>
                <w:szCs w:val="20"/>
              </w:rPr>
            </w:pPr>
            <w:r w:rsidRPr="00814A39">
              <w:rPr>
                <w:sz w:val="20"/>
                <w:szCs w:val="20"/>
              </w:rPr>
              <w:t>Native American Tribes</w:t>
            </w:r>
          </w:p>
          <w:p w:rsidR="00185A39" w:rsidRDefault="00185A39" w:rsidP="00656A24">
            <w:pPr>
              <w:spacing w:before="60" w:after="60"/>
              <w:rPr>
                <w:sz w:val="20"/>
                <w:szCs w:val="20"/>
              </w:rPr>
            </w:pPr>
          </w:p>
          <w:p w:rsidR="00185A39" w:rsidRDefault="00185A39" w:rsidP="00656A24">
            <w:pPr>
              <w:spacing w:before="60" w:after="60"/>
              <w:rPr>
                <w:sz w:val="20"/>
                <w:szCs w:val="20"/>
              </w:rPr>
            </w:pPr>
          </w:p>
          <w:p w:rsidR="00185A39" w:rsidRPr="00814A39" w:rsidRDefault="00185A39" w:rsidP="00656A24">
            <w:pPr>
              <w:spacing w:before="60" w:after="60"/>
              <w:rPr>
                <w:sz w:val="20"/>
                <w:szCs w:val="20"/>
              </w:rPr>
            </w:pPr>
          </w:p>
        </w:tc>
        <w:tc>
          <w:tcPr>
            <w:tcW w:w="4026" w:type="dxa"/>
          </w:tcPr>
          <w:p w:rsidR="00B10308" w:rsidRPr="00814A39" w:rsidRDefault="00B10308" w:rsidP="00656A24">
            <w:pPr>
              <w:spacing w:before="60" w:after="60"/>
              <w:rPr>
                <w:sz w:val="20"/>
                <w:szCs w:val="20"/>
              </w:rPr>
            </w:pPr>
            <w:r w:rsidRPr="00814A39">
              <w:rPr>
                <w:sz w:val="20"/>
                <w:szCs w:val="20"/>
              </w:rPr>
              <w:t>None</w:t>
            </w:r>
          </w:p>
          <w:p w:rsidR="00B10308" w:rsidRPr="00814A39" w:rsidRDefault="00B10308" w:rsidP="00656A24">
            <w:pPr>
              <w:spacing w:before="60" w:after="60"/>
              <w:rPr>
                <w:sz w:val="20"/>
                <w:szCs w:val="20"/>
              </w:rPr>
            </w:pPr>
          </w:p>
        </w:tc>
        <w:tc>
          <w:tcPr>
            <w:tcW w:w="6840" w:type="dxa"/>
          </w:tcPr>
          <w:p w:rsidR="00B10308" w:rsidRPr="00814A39" w:rsidRDefault="00B10308" w:rsidP="002B7708">
            <w:pPr>
              <w:spacing w:before="120" w:after="120"/>
              <w:rPr>
                <w:sz w:val="20"/>
                <w:szCs w:val="20"/>
              </w:rPr>
            </w:pPr>
            <w:r w:rsidRPr="00814A39">
              <w:rPr>
                <w:sz w:val="20"/>
                <w:szCs w:val="20"/>
              </w:rPr>
              <w:t xml:space="preserve">Qualified IV-D Tribal Child Support Enforcement Agencies are not </w:t>
            </w:r>
            <w:r>
              <w:rPr>
                <w:sz w:val="20"/>
                <w:szCs w:val="20"/>
              </w:rPr>
              <w:t>state equivalents under 26 USC 6103.</w:t>
            </w:r>
            <w:r w:rsidR="002B7708">
              <w:rPr>
                <w:sz w:val="20"/>
                <w:szCs w:val="20"/>
                <w:vertAlign w:val="superscript"/>
              </w:rPr>
              <w:t>a</w:t>
            </w:r>
            <w:r w:rsidRPr="00814A39">
              <w:rPr>
                <w:sz w:val="20"/>
                <w:szCs w:val="20"/>
              </w:rPr>
              <w:t xml:space="preserve"> </w:t>
            </w:r>
          </w:p>
        </w:tc>
      </w:tr>
    </w:tbl>
    <w:p w:rsidR="00B918E6" w:rsidRPr="00814A39" w:rsidRDefault="00B918E6"/>
    <w:p w:rsidR="001B5553" w:rsidRDefault="001B5553">
      <w:pPr>
        <w:rPr>
          <w:sz w:val="20"/>
          <w:szCs w:val="20"/>
        </w:rPr>
      </w:pPr>
    </w:p>
    <w:p w:rsidR="00E72505" w:rsidRPr="00814A39" w:rsidRDefault="002B3E5A">
      <w:pPr>
        <w:rPr>
          <w:sz w:val="20"/>
          <w:szCs w:val="20"/>
        </w:rPr>
      </w:pPr>
      <w:r w:rsidRPr="00814A39">
        <w:rPr>
          <w:sz w:val="20"/>
          <w:szCs w:val="20"/>
        </w:rPr>
        <w:t xml:space="preserve">Qualified IV-D </w:t>
      </w:r>
      <w:r w:rsidR="00671B87">
        <w:rPr>
          <w:sz w:val="20"/>
          <w:szCs w:val="20"/>
        </w:rPr>
        <w:t>c</w:t>
      </w:r>
      <w:r w:rsidR="00B918E6" w:rsidRPr="00814A39">
        <w:rPr>
          <w:sz w:val="20"/>
          <w:szCs w:val="20"/>
        </w:rPr>
        <w:t>hil</w:t>
      </w:r>
      <w:r w:rsidR="00671B87">
        <w:rPr>
          <w:sz w:val="20"/>
          <w:szCs w:val="20"/>
        </w:rPr>
        <w:t xml:space="preserve">d support agencies </w:t>
      </w:r>
      <w:r w:rsidR="00B918E6" w:rsidRPr="00814A39">
        <w:rPr>
          <w:sz w:val="20"/>
          <w:szCs w:val="20"/>
        </w:rPr>
        <w:t xml:space="preserve">receive </w:t>
      </w:r>
      <w:r w:rsidR="00671B87">
        <w:rPr>
          <w:sz w:val="20"/>
          <w:szCs w:val="20"/>
        </w:rPr>
        <w:t>f</w:t>
      </w:r>
      <w:r w:rsidR="00B918E6" w:rsidRPr="00814A39">
        <w:rPr>
          <w:sz w:val="20"/>
          <w:szCs w:val="20"/>
        </w:rPr>
        <w:t>ederal tax information (FTI) from various sources under the statutory authority of Internal Revenue Code</w:t>
      </w:r>
      <w:r w:rsidR="00A67ABB" w:rsidRPr="00814A39">
        <w:rPr>
          <w:sz w:val="20"/>
          <w:szCs w:val="20"/>
        </w:rPr>
        <w:t xml:space="preserve"> (IRC)</w:t>
      </w:r>
      <w:r w:rsidR="00B918E6" w:rsidRPr="00814A39">
        <w:rPr>
          <w:sz w:val="20"/>
          <w:szCs w:val="20"/>
        </w:rPr>
        <w:t xml:space="preserve"> section</w:t>
      </w:r>
      <w:r w:rsidR="00A67ABB" w:rsidRPr="00814A39">
        <w:rPr>
          <w:sz w:val="20"/>
          <w:szCs w:val="20"/>
        </w:rPr>
        <w:t>s</w:t>
      </w:r>
      <w:r w:rsidR="00B918E6" w:rsidRPr="00814A39">
        <w:rPr>
          <w:sz w:val="20"/>
          <w:szCs w:val="20"/>
        </w:rPr>
        <w:t xml:space="preserve"> 6103(l)(6), (l)(8) and (l)(10).  The </w:t>
      </w:r>
      <w:r w:rsidR="00A67ABB" w:rsidRPr="00814A39">
        <w:rPr>
          <w:sz w:val="20"/>
          <w:szCs w:val="20"/>
        </w:rPr>
        <w:t xml:space="preserve">IRC </w:t>
      </w:r>
      <w:r w:rsidR="00B918E6" w:rsidRPr="00814A39">
        <w:rPr>
          <w:sz w:val="20"/>
          <w:szCs w:val="20"/>
        </w:rPr>
        <w:t xml:space="preserve">establishes the </w:t>
      </w:r>
      <w:r w:rsidR="00E72505" w:rsidRPr="00814A39">
        <w:rPr>
          <w:sz w:val="20"/>
          <w:szCs w:val="20"/>
        </w:rPr>
        <w:t>specific FTI which is disclosed, the authorized recipients</w:t>
      </w:r>
      <w:r w:rsidR="00671B87">
        <w:rPr>
          <w:sz w:val="20"/>
          <w:szCs w:val="20"/>
        </w:rPr>
        <w:t>,</w:t>
      </w:r>
      <w:r w:rsidR="00E72505" w:rsidRPr="00814A39">
        <w:rPr>
          <w:sz w:val="20"/>
          <w:szCs w:val="20"/>
        </w:rPr>
        <w:t xml:space="preserve"> and </w:t>
      </w:r>
      <w:r w:rsidR="00671B87">
        <w:rPr>
          <w:sz w:val="20"/>
          <w:szCs w:val="20"/>
        </w:rPr>
        <w:t xml:space="preserve">the </w:t>
      </w:r>
      <w:r w:rsidR="00E72505" w:rsidRPr="00814A39">
        <w:rPr>
          <w:sz w:val="20"/>
          <w:szCs w:val="20"/>
        </w:rPr>
        <w:t xml:space="preserve">restrictions on use for the purpose authorized.  </w:t>
      </w:r>
      <w:r w:rsidR="00A67ABB" w:rsidRPr="00814A39">
        <w:rPr>
          <w:sz w:val="20"/>
          <w:szCs w:val="20"/>
        </w:rPr>
        <w:t xml:space="preserve">This chart </w:t>
      </w:r>
      <w:r w:rsidR="00E72505" w:rsidRPr="00814A39">
        <w:rPr>
          <w:sz w:val="20"/>
          <w:szCs w:val="20"/>
        </w:rPr>
        <w:t>describes the authorized recipients and uses in the child support enforcement program</w:t>
      </w:r>
      <w:r w:rsidRPr="00814A39">
        <w:rPr>
          <w:sz w:val="20"/>
          <w:szCs w:val="20"/>
        </w:rPr>
        <w:t xml:space="preserve"> </w:t>
      </w:r>
      <w:r w:rsidR="00E72505" w:rsidRPr="00814A39">
        <w:rPr>
          <w:sz w:val="20"/>
          <w:szCs w:val="20"/>
        </w:rPr>
        <w:t xml:space="preserve">and </w:t>
      </w:r>
      <w:r w:rsidRPr="00814A39">
        <w:rPr>
          <w:sz w:val="20"/>
          <w:szCs w:val="20"/>
        </w:rPr>
        <w:t xml:space="preserve">is </w:t>
      </w:r>
      <w:r w:rsidR="00E72505" w:rsidRPr="00814A39">
        <w:rPr>
          <w:sz w:val="20"/>
          <w:szCs w:val="20"/>
        </w:rPr>
        <w:t xml:space="preserve">utilized by </w:t>
      </w:r>
      <w:r w:rsidR="00671B87">
        <w:rPr>
          <w:sz w:val="20"/>
          <w:szCs w:val="20"/>
        </w:rPr>
        <w:t xml:space="preserve">the </w:t>
      </w:r>
      <w:r w:rsidR="00E72505" w:rsidRPr="00814A39">
        <w:rPr>
          <w:sz w:val="20"/>
          <w:szCs w:val="20"/>
        </w:rPr>
        <w:t>Office of Safeguards when conducting on</w:t>
      </w:r>
      <w:r w:rsidR="00DA63C4">
        <w:rPr>
          <w:sz w:val="20"/>
          <w:szCs w:val="20"/>
        </w:rPr>
        <w:t>-</w:t>
      </w:r>
      <w:r w:rsidR="00E72505" w:rsidRPr="00814A39">
        <w:rPr>
          <w:sz w:val="20"/>
          <w:szCs w:val="20"/>
        </w:rPr>
        <w:t xml:space="preserve">site </w:t>
      </w:r>
      <w:r w:rsidRPr="00814A39">
        <w:rPr>
          <w:sz w:val="20"/>
          <w:szCs w:val="20"/>
        </w:rPr>
        <w:t xml:space="preserve">safeguard </w:t>
      </w:r>
      <w:r w:rsidR="00E72505" w:rsidRPr="00814A39">
        <w:rPr>
          <w:sz w:val="20"/>
          <w:szCs w:val="20"/>
        </w:rPr>
        <w:t xml:space="preserve">reviews </w:t>
      </w:r>
      <w:r w:rsidR="00041CA9" w:rsidRPr="00814A39">
        <w:rPr>
          <w:sz w:val="20"/>
          <w:szCs w:val="20"/>
        </w:rPr>
        <w:t xml:space="preserve">when reporting </w:t>
      </w:r>
      <w:r w:rsidR="00E72505" w:rsidRPr="00814A39">
        <w:rPr>
          <w:sz w:val="20"/>
          <w:szCs w:val="20"/>
        </w:rPr>
        <w:t>findings con</w:t>
      </w:r>
      <w:r w:rsidR="00850591" w:rsidRPr="00814A39">
        <w:rPr>
          <w:sz w:val="20"/>
          <w:szCs w:val="20"/>
        </w:rPr>
        <w:t xml:space="preserve">cerning unauthorized disclosure in violation of the IRC. </w:t>
      </w:r>
      <w:r w:rsidR="00E72505" w:rsidRPr="00814A39">
        <w:rPr>
          <w:sz w:val="20"/>
          <w:szCs w:val="20"/>
        </w:rPr>
        <w:t xml:space="preserve">   </w:t>
      </w:r>
    </w:p>
    <w:p w:rsidR="00E72505" w:rsidRPr="00814A39" w:rsidRDefault="00E72505">
      <w:pPr>
        <w:rPr>
          <w:sz w:val="20"/>
          <w:szCs w:val="20"/>
        </w:rPr>
      </w:pPr>
    </w:p>
    <w:p w:rsidR="005242E5" w:rsidRPr="00DD3F36" w:rsidRDefault="00B918E6">
      <w:pPr>
        <w:rPr>
          <w:sz w:val="20"/>
          <w:szCs w:val="20"/>
        </w:rPr>
      </w:pPr>
      <w:r w:rsidRPr="00814A39">
        <w:rPr>
          <w:sz w:val="20"/>
          <w:szCs w:val="20"/>
        </w:rPr>
        <w:t xml:space="preserve">  </w:t>
      </w:r>
    </w:p>
    <w:sectPr w:rsidR="005242E5" w:rsidRPr="00DD3F36" w:rsidSect="00160517">
      <w:headerReference w:type="default" r:id="rId8"/>
      <w:footerReference w:type="default" r:id="rId9"/>
      <w:endnotePr>
        <w:numFmt w:val="lowerLetter"/>
      </w:endnotePr>
      <w:pgSz w:w="15840" w:h="12240" w:orient="landscape"/>
      <w:pgMar w:top="720" w:right="720" w:bottom="72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71B87" w:rsidRDefault="00671B87">
      <w:r>
        <w:separator/>
      </w:r>
    </w:p>
  </w:endnote>
  <w:endnote w:type="continuationSeparator" w:id="0">
    <w:p w:rsidR="00671B87" w:rsidRDefault="00671B87">
      <w:r>
        <w:continuationSeparator/>
      </w:r>
    </w:p>
  </w:endnote>
  <w:endnote w:id="1">
    <w:p w:rsidR="00671B87" w:rsidRPr="00411EAC" w:rsidRDefault="00671B87" w:rsidP="008E7DF3">
      <w:pPr>
        <w:spacing w:before="60" w:after="60"/>
        <w:rPr>
          <w:b/>
          <w:sz w:val="20"/>
          <w:szCs w:val="20"/>
        </w:rPr>
      </w:pPr>
      <w:r>
        <w:rPr>
          <w:rStyle w:val="EndnoteReference"/>
        </w:rPr>
        <w:endnoteRef/>
      </w:r>
      <w:r>
        <w:t xml:space="preserve"> </w:t>
      </w:r>
      <w:r w:rsidRPr="00411EAC">
        <w:rPr>
          <w:b/>
          <w:sz w:val="20"/>
          <w:szCs w:val="20"/>
        </w:rPr>
        <w:t xml:space="preserve">Safeguard reviews will include a finding of unauthorized disclosure to child support contractors directly engaged in locating or collecting child support obligations </w:t>
      </w:r>
      <w:r w:rsidR="00832D1F">
        <w:rPr>
          <w:b/>
          <w:sz w:val="20"/>
          <w:szCs w:val="20"/>
        </w:rPr>
        <w:t>when the contractor is in</w:t>
      </w:r>
      <w:r w:rsidRPr="00411EAC">
        <w:rPr>
          <w:b/>
          <w:sz w:val="20"/>
          <w:szCs w:val="20"/>
        </w:rPr>
        <w:t xml:space="preserve"> receipt of more than the 3 data elements of FTI specifically authorized for disclosure by IRC 6103(l)</w:t>
      </w:r>
      <w:r w:rsidR="00832D1F">
        <w:rPr>
          <w:b/>
          <w:sz w:val="20"/>
          <w:szCs w:val="20"/>
        </w:rPr>
        <w:t>(</w:t>
      </w:r>
      <w:r w:rsidRPr="00411EAC">
        <w:rPr>
          <w:b/>
          <w:sz w:val="20"/>
          <w:szCs w:val="20"/>
        </w:rPr>
        <w:t>6)(B) in conjunction with IRC § 6103(l)(10): the taxpayer’s address, SSN</w:t>
      </w:r>
      <w:r w:rsidR="00832D1F">
        <w:rPr>
          <w:b/>
          <w:sz w:val="20"/>
          <w:szCs w:val="20"/>
        </w:rPr>
        <w:t>,</w:t>
      </w:r>
      <w:r w:rsidRPr="00411EAC">
        <w:rPr>
          <w:b/>
          <w:sz w:val="20"/>
          <w:szCs w:val="20"/>
        </w:rPr>
        <w:t xml:space="preserve"> and amount of a refund offset</w:t>
      </w:r>
      <w:r w:rsidR="00832D1F">
        <w:rPr>
          <w:b/>
          <w:sz w:val="20"/>
          <w:szCs w:val="20"/>
        </w:rPr>
        <w:t xml:space="preserve">.  </w:t>
      </w:r>
      <w:r w:rsidRPr="00411EAC">
        <w:rPr>
          <w:b/>
          <w:sz w:val="20"/>
          <w:szCs w:val="20"/>
        </w:rPr>
        <w:t xml:space="preserve">This applies to disclosures by a </w:t>
      </w:r>
      <w:r>
        <w:rPr>
          <w:b/>
          <w:sz w:val="20"/>
          <w:szCs w:val="20"/>
        </w:rPr>
        <w:t>child support agency</w:t>
      </w:r>
      <w:r w:rsidRPr="00411EAC">
        <w:rPr>
          <w:b/>
          <w:sz w:val="20"/>
          <w:szCs w:val="20"/>
        </w:rPr>
        <w:t xml:space="preserve"> to any Native American Tribe for the same reason.</w:t>
      </w:r>
      <w:r w:rsidR="00832D1F">
        <w:rPr>
          <w:b/>
          <w:sz w:val="20"/>
          <w:szCs w:val="20"/>
        </w:rPr>
        <w:t xml:space="preserve"> </w:t>
      </w:r>
      <w:r w:rsidRPr="00411EAC">
        <w:rPr>
          <w:b/>
          <w:sz w:val="20"/>
          <w:szCs w:val="20"/>
        </w:rPr>
        <w:t xml:space="preserve"> Corrective action for these contractors </w:t>
      </w:r>
      <w:r>
        <w:rPr>
          <w:b/>
          <w:sz w:val="20"/>
          <w:szCs w:val="20"/>
        </w:rPr>
        <w:t xml:space="preserve">and tribes </w:t>
      </w:r>
      <w:r w:rsidRPr="00411EAC">
        <w:rPr>
          <w:b/>
          <w:sz w:val="20"/>
          <w:szCs w:val="20"/>
        </w:rPr>
        <w:t xml:space="preserve">is held in abeyance pending resolution of conflicting interpretation of federal statutes with OCSE.  </w:t>
      </w:r>
    </w:p>
    <w:p w:rsidR="00671B87" w:rsidRDefault="00671B87">
      <w:pPr>
        <w:pStyle w:val="EndnoteText"/>
      </w:pP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MS Shell Dlg">
    <w:altName w:val="Arial Unicode MS"/>
    <w:panose1 w:val="020B0604020202020204"/>
    <w:charset w:val="00"/>
    <w:family w:val="swiss"/>
    <w:pitch w:val="variable"/>
    <w:sig w:usb0="61002BDF"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71B87" w:rsidRPr="002712DE" w:rsidRDefault="00671B87" w:rsidP="002712DE">
    <w:pPr>
      <w:pStyle w:val="Footer"/>
      <w:jc w:val="righ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71B87" w:rsidRDefault="00671B87">
      <w:r>
        <w:separator/>
      </w:r>
    </w:p>
  </w:footnote>
  <w:footnote w:type="continuationSeparator" w:id="0">
    <w:p w:rsidR="00671B87" w:rsidRDefault="00671B8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71B87" w:rsidRPr="001B5553" w:rsidRDefault="00671B87" w:rsidP="001B5553">
    <w:pPr>
      <w:jc w:val="center"/>
      <w:rPr>
        <w:b/>
        <w:sz w:val="22"/>
        <w:szCs w:val="22"/>
      </w:rPr>
    </w:pPr>
    <w:r w:rsidRPr="001B5553">
      <w:rPr>
        <w:b/>
        <w:sz w:val="22"/>
        <w:szCs w:val="22"/>
      </w:rPr>
      <w:t>IRS Disclosure Matrix</w:t>
    </w:r>
  </w:p>
  <w:p w:rsidR="00671B87" w:rsidRDefault="00671B87" w:rsidP="001B5553">
    <w:pPr>
      <w:jc w:val="center"/>
      <w:rPr>
        <w:b/>
        <w:sz w:val="22"/>
        <w:szCs w:val="22"/>
      </w:rPr>
    </w:pPr>
  </w:p>
  <w:p w:rsidR="00671B87" w:rsidRDefault="00671B87" w:rsidP="001B5553">
    <w:pPr>
      <w:jc w:val="center"/>
      <w:rPr>
        <w:b/>
        <w:sz w:val="20"/>
        <w:szCs w:val="20"/>
      </w:rPr>
    </w:pPr>
    <w:r>
      <w:rPr>
        <w:b/>
        <w:sz w:val="22"/>
        <w:szCs w:val="22"/>
      </w:rPr>
      <w:t>Use of Federal Tax Information (FTI) for Child Support Enforcement Purposes</w:t>
    </w:r>
  </w:p>
  <w:p w:rsidR="00671B87" w:rsidRDefault="00671B87" w:rsidP="001B5553">
    <w:pPr>
      <w:pStyle w:val="Header"/>
      <w:jc w:val="center"/>
    </w:pPr>
  </w:p>
  <w:p w:rsidR="00671B87" w:rsidRDefault="00671B87">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CE376A"/>
    <w:multiLevelType w:val="hybridMultilevel"/>
    <w:tmpl w:val="D1CAB176"/>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1">
    <w:nsid w:val="038A654E"/>
    <w:multiLevelType w:val="multilevel"/>
    <w:tmpl w:val="49DA96F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nsid w:val="42EA47C5"/>
    <w:multiLevelType w:val="hybridMultilevel"/>
    <w:tmpl w:val="0E94ABFA"/>
    <w:lvl w:ilvl="0" w:tplc="02E8BE38">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720"/>
        </w:tabs>
        <w:ind w:left="720" w:hanging="360"/>
      </w:pPr>
      <w:rPr>
        <w:rFonts w:ascii="Courier New" w:hAnsi="Courier New" w:cs="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3">
    <w:nsid w:val="4D8A7BFE"/>
    <w:multiLevelType w:val="hybridMultilevel"/>
    <w:tmpl w:val="2A08C548"/>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360"/>
        </w:tabs>
        <w:ind w:left="360" w:hanging="360"/>
      </w:pPr>
      <w:rPr>
        <w:rFonts w:ascii="Courier New" w:hAnsi="Courier New" w:cs="Courier New" w:hint="default"/>
      </w:rPr>
    </w:lvl>
    <w:lvl w:ilvl="2" w:tplc="04090005" w:tentative="1">
      <w:start w:val="1"/>
      <w:numFmt w:val="bullet"/>
      <w:lvlText w:val=""/>
      <w:lvlJc w:val="left"/>
      <w:pPr>
        <w:tabs>
          <w:tab w:val="num" w:pos="1080"/>
        </w:tabs>
        <w:ind w:left="1080" w:hanging="360"/>
      </w:pPr>
      <w:rPr>
        <w:rFonts w:ascii="Wingdings" w:hAnsi="Wingdings" w:hint="default"/>
      </w:rPr>
    </w:lvl>
    <w:lvl w:ilvl="3" w:tplc="04090001" w:tentative="1">
      <w:start w:val="1"/>
      <w:numFmt w:val="bullet"/>
      <w:lvlText w:val=""/>
      <w:lvlJc w:val="left"/>
      <w:pPr>
        <w:tabs>
          <w:tab w:val="num" w:pos="1800"/>
        </w:tabs>
        <w:ind w:left="1800" w:hanging="360"/>
      </w:pPr>
      <w:rPr>
        <w:rFonts w:ascii="Symbol" w:hAnsi="Symbol" w:hint="default"/>
      </w:rPr>
    </w:lvl>
    <w:lvl w:ilvl="4" w:tplc="04090003" w:tentative="1">
      <w:start w:val="1"/>
      <w:numFmt w:val="bullet"/>
      <w:lvlText w:val="o"/>
      <w:lvlJc w:val="left"/>
      <w:pPr>
        <w:tabs>
          <w:tab w:val="num" w:pos="2520"/>
        </w:tabs>
        <w:ind w:left="2520" w:hanging="360"/>
      </w:pPr>
      <w:rPr>
        <w:rFonts w:ascii="Courier New" w:hAnsi="Courier New" w:cs="Courier New" w:hint="default"/>
      </w:rPr>
    </w:lvl>
    <w:lvl w:ilvl="5" w:tplc="04090005" w:tentative="1">
      <w:start w:val="1"/>
      <w:numFmt w:val="bullet"/>
      <w:lvlText w:val=""/>
      <w:lvlJc w:val="left"/>
      <w:pPr>
        <w:tabs>
          <w:tab w:val="num" w:pos="3240"/>
        </w:tabs>
        <w:ind w:left="3240" w:hanging="360"/>
      </w:pPr>
      <w:rPr>
        <w:rFonts w:ascii="Wingdings" w:hAnsi="Wingdings" w:hint="default"/>
      </w:rPr>
    </w:lvl>
    <w:lvl w:ilvl="6" w:tplc="04090001" w:tentative="1">
      <w:start w:val="1"/>
      <w:numFmt w:val="bullet"/>
      <w:lvlText w:val=""/>
      <w:lvlJc w:val="left"/>
      <w:pPr>
        <w:tabs>
          <w:tab w:val="num" w:pos="3960"/>
        </w:tabs>
        <w:ind w:left="3960" w:hanging="360"/>
      </w:pPr>
      <w:rPr>
        <w:rFonts w:ascii="Symbol" w:hAnsi="Symbol" w:hint="default"/>
      </w:rPr>
    </w:lvl>
    <w:lvl w:ilvl="7" w:tplc="04090003" w:tentative="1">
      <w:start w:val="1"/>
      <w:numFmt w:val="bullet"/>
      <w:lvlText w:val="o"/>
      <w:lvlJc w:val="left"/>
      <w:pPr>
        <w:tabs>
          <w:tab w:val="num" w:pos="4680"/>
        </w:tabs>
        <w:ind w:left="4680" w:hanging="360"/>
      </w:pPr>
      <w:rPr>
        <w:rFonts w:ascii="Courier New" w:hAnsi="Courier New" w:cs="Courier New" w:hint="default"/>
      </w:rPr>
    </w:lvl>
    <w:lvl w:ilvl="8" w:tplc="04090005" w:tentative="1">
      <w:start w:val="1"/>
      <w:numFmt w:val="bullet"/>
      <w:lvlText w:val=""/>
      <w:lvlJc w:val="left"/>
      <w:pPr>
        <w:tabs>
          <w:tab w:val="num" w:pos="5400"/>
        </w:tabs>
        <w:ind w:left="5400" w:hanging="360"/>
      </w:pPr>
      <w:rPr>
        <w:rFonts w:ascii="Wingdings" w:hAnsi="Wingdings" w:hint="default"/>
      </w:rPr>
    </w:lvl>
  </w:abstractNum>
  <w:abstractNum w:abstractNumId="4">
    <w:nsid w:val="59F13289"/>
    <w:multiLevelType w:val="hybridMultilevel"/>
    <w:tmpl w:val="DF484730"/>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360"/>
        </w:tabs>
        <w:ind w:left="360" w:hanging="360"/>
      </w:pPr>
      <w:rPr>
        <w:rFonts w:ascii="Courier New" w:hAnsi="Courier New" w:cs="Courier New" w:hint="default"/>
      </w:rPr>
    </w:lvl>
    <w:lvl w:ilvl="2" w:tplc="04090005" w:tentative="1">
      <w:start w:val="1"/>
      <w:numFmt w:val="bullet"/>
      <w:lvlText w:val=""/>
      <w:lvlJc w:val="left"/>
      <w:pPr>
        <w:tabs>
          <w:tab w:val="num" w:pos="1080"/>
        </w:tabs>
        <w:ind w:left="1080" w:hanging="360"/>
      </w:pPr>
      <w:rPr>
        <w:rFonts w:ascii="Wingdings" w:hAnsi="Wingdings" w:hint="default"/>
      </w:rPr>
    </w:lvl>
    <w:lvl w:ilvl="3" w:tplc="04090001" w:tentative="1">
      <w:start w:val="1"/>
      <w:numFmt w:val="bullet"/>
      <w:lvlText w:val=""/>
      <w:lvlJc w:val="left"/>
      <w:pPr>
        <w:tabs>
          <w:tab w:val="num" w:pos="1800"/>
        </w:tabs>
        <w:ind w:left="1800" w:hanging="360"/>
      </w:pPr>
      <w:rPr>
        <w:rFonts w:ascii="Symbol" w:hAnsi="Symbol" w:hint="default"/>
      </w:rPr>
    </w:lvl>
    <w:lvl w:ilvl="4" w:tplc="04090003" w:tentative="1">
      <w:start w:val="1"/>
      <w:numFmt w:val="bullet"/>
      <w:lvlText w:val="o"/>
      <w:lvlJc w:val="left"/>
      <w:pPr>
        <w:tabs>
          <w:tab w:val="num" w:pos="2520"/>
        </w:tabs>
        <w:ind w:left="2520" w:hanging="360"/>
      </w:pPr>
      <w:rPr>
        <w:rFonts w:ascii="Courier New" w:hAnsi="Courier New" w:cs="Courier New" w:hint="default"/>
      </w:rPr>
    </w:lvl>
    <w:lvl w:ilvl="5" w:tplc="04090005" w:tentative="1">
      <w:start w:val="1"/>
      <w:numFmt w:val="bullet"/>
      <w:lvlText w:val=""/>
      <w:lvlJc w:val="left"/>
      <w:pPr>
        <w:tabs>
          <w:tab w:val="num" w:pos="3240"/>
        </w:tabs>
        <w:ind w:left="3240" w:hanging="360"/>
      </w:pPr>
      <w:rPr>
        <w:rFonts w:ascii="Wingdings" w:hAnsi="Wingdings" w:hint="default"/>
      </w:rPr>
    </w:lvl>
    <w:lvl w:ilvl="6" w:tplc="04090001" w:tentative="1">
      <w:start w:val="1"/>
      <w:numFmt w:val="bullet"/>
      <w:lvlText w:val=""/>
      <w:lvlJc w:val="left"/>
      <w:pPr>
        <w:tabs>
          <w:tab w:val="num" w:pos="3960"/>
        </w:tabs>
        <w:ind w:left="3960" w:hanging="360"/>
      </w:pPr>
      <w:rPr>
        <w:rFonts w:ascii="Symbol" w:hAnsi="Symbol" w:hint="default"/>
      </w:rPr>
    </w:lvl>
    <w:lvl w:ilvl="7" w:tplc="04090003" w:tentative="1">
      <w:start w:val="1"/>
      <w:numFmt w:val="bullet"/>
      <w:lvlText w:val="o"/>
      <w:lvlJc w:val="left"/>
      <w:pPr>
        <w:tabs>
          <w:tab w:val="num" w:pos="4680"/>
        </w:tabs>
        <w:ind w:left="4680" w:hanging="360"/>
      </w:pPr>
      <w:rPr>
        <w:rFonts w:ascii="Courier New" w:hAnsi="Courier New" w:cs="Courier New" w:hint="default"/>
      </w:rPr>
    </w:lvl>
    <w:lvl w:ilvl="8" w:tplc="04090005" w:tentative="1">
      <w:start w:val="1"/>
      <w:numFmt w:val="bullet"/>
      <w:lvlText w:val=""/>
      <w:lvlJc w:val="left"/>
      <w:pPr>
        <w:tabs>
          <w:tab w:val="num" w:pos="5400"/>
        </w:tabs>
        <w:ind w:left="5400" w:hanging="360"/>
      </w:pPr>
      <w:rPr>
        <w:rFonts w:ascii="Wingdings" w:hAnsi="Wingdings" w:hint="default"/>
      </w:rPr>
    </w:lvl>
  </w:abstractNum>
  <w:abstractNum w:abstractNumId="5">
    <w:nsid w:val="60DF23A5"/>
    <w:multiLevelType w:val="hybridMultilevel"/>
    <w:tmpl w:val="965022A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74BC28EA"/>
    <w:multiLevelType w:val="hybridMultilevel"/>
    <w:tmpl w:val="B59841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7DB96589"/>
    <w:multiLevelType w:val="hybridMultilevel"/>
    <w:tmpl w:val="0706C284"/>
    <w:lvl w:ilvl="0" w:tplc="02E8BE38">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720"/>
        </w:tabs>
        <w:ind w:left="720" w:hanging="360"/>
      </w:pPr>
      <w:rPr>
        <w:rFonts w:ascii="Courier New" w:hAnsi="Courier New" w:cs="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num w:numId="1">
    <w:abstractNumId w:val="7"/>
  </w:num>
  <w:num w:numId="2">
    <w:abstractNumId w:val="2"/>
  </w:num>
  <w:num w:numId="3">
    <w:abstractNumId w:val="4"/>
  </w:num>
  <w:num w:numId="4">
    <w:abstractNumId w:val="3"/>
  </w:num>
  <w:num w:numId="5">
    <w:abstractNumId w:val="5"/>
  </w:num>
  <w:num w:numId="6">
    <w:abstractNumId w:val="0"/>
  </w:num>
  <w:num w:numId="7">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stylePaneFormatFilter w:val="3F01"/>
  <w:defaultTabStop w:val="720"/>
  <w:drawingGridHorizontalSpacing w:val="120"/>
  <w:displayHorizontalDrawingGridEvery w:val="2"/>
  <w:displayVerticalDrawingGridEvery w:val="2"/>
  <w:noPunctuationKerning/>
  <w:characterSpacingControl w:val="doNotCompress"/>
  <w:hdrShapeDefaults>
    <o:shapedefaults v:ext="edit" spidmax="12289"/>
  </w:hdrShapeDefaults>
  <w:footnotePr>
    <w:footnote w:id="-1"/>
    <w:footnote w:id="0"/>
  </w:footnotePr>
  <w:endnotePr>
    <w:numFmt w:val="lowerLetter"/>
    <w:endnote w:id="-1"/>
    <w:endnote w:id="0"/>
  </w:endnotePr>
  <w:compat/>
  <w:rsids>
    <w:rsidRoot w:val="00656A24"/>
    <w:rsid w:val="00002D9D"/>
    <w:rsid w:val="0001217D"/>
    <w:rsid w:val="00017F35"/>
    <w:rsid w:val="00025601"/>
    <w:rsid w:val="0003174C"/>
    <w:rsid w:val="00035870"/>
    <w:rsid w:val="0003736A"/>
    <w:rsid w:val="000379E7"/>
    <w:rsid w:val="00041CA9"/>
    <w:rsid w:val="00042E16"/>
    <w:rsid w:val="00054944"/>
    <w:rsid w:val="000566F9"/>
    <w:rsid w:val="00062F72"/>
    <w:rsid w:val="00065EAB"/>
    <w:rsid w:val="00070AE6"/>
    <w:rsid w:val="00072713"/>
    <w:rsid w:val="00076310"/>
    <w:rsid w:val="00081C77"/>
    <w:rsid w:val="000905C0"/>
    <w:rsid w:val="00097D46"/>
    <w:rsid w:val="000A3EA3"/>
    <w:rsid w:val="000A6E3E"/>
    <w:rsid w:val="000B5CF6"/>
    <w:rsid w:val="000D702E"/>
    <w:rsid w:val="000F31C4"/>
    <w:rsid w:val="00100509"/>
    <w:rsid w:val="00102438"/>
    <w:rsid w:val="0010417E"/>
    <w:rsid w:val="00111116"/>
    <w:rsid w:val="00114C53"/>
    <w:rsid w:val="00116366"/>
    <w:rsid w:val="00116517"/>
    <w:rsid w:val="00131C81"/>
    <w:rsid w:val="00141F63"/>
    <w:rsid w:val="00154A0A"/>
    <w:rsid w:val="001574A6"/>
    <w:rsid w:val="00160517"/>
    <w:rsid w:val="0017266E"/>
    <w:rsid w:val="00180B0D"/>
    <w:rsid w:val="0018216E"/>
    <w:rsid w:val="00185A39"/>
    <w:rsid w:val="00191B1C"/>
    <w:rsid w:val="001A3940"/>
    <w:rsid w:val="001A4C80"/>
    <w:rsid w:val="001B2FC8"/>
    <w:rsid w:val="001B5553"/>
    <w:rsid w:val="001B6777"/>
    <w:rsid w:val="001E16E8"/>
    <w:rsid w:val="001E507F"/>
    <w:rsid w:val="00204B94"/>
    <w:rsid w:val="00226129"/>
    <w:rsid w:val="00234985"/>
    <w:rsid w:val="00234D6B"/>
    <w:rsid w:val="0023536D"/>
    <w:rsid w:val="00264863"/>
    <w:rsid w:val="00271145"/>
    <w:rsid w:val="002712DE"/>
    <w:rsid w:val="00271F42"/>
    <w:rsid w:val="00272A35"/>
    <w:rsid w:val="00282AD3"/>
    <w:rsid w:val="002902D3"/>
    <w:rsid w:val="00292359"/>
    <w:rsid w:val="002A09BE"/>
    <w:rsid w:val="002B3E5A"/>
    <w:rsid w:val="002B7708"/>
    <w:rsid w:val="002D1E76"/>
    <w:rsid w:val="002E6B1C"/>
    <w:rsid w:val="002E6C67"/>
    <w:rsid w:val="002E71C1"/>
    <w:rsid w:val="00301E8F"/>
    <w:rsid w:val="00303CDB"/>
    <w:rsid w:val="003153D5"/>
    <w:rsid w:val="00316AEE"/>
    <w:rsid w:val="00331131"/>
    <w:rsid w:val="003344AD"/>
    <w:rsid w:val="00337088"/>
    <w:rsid w:val="00343AE8"/>
    <w:rsid w:val="0034747B"/>
    <w:rsid w:val="00354C40"/>
    <w:rsid w:val="003648C0"/>
    <w:rsid w:val="00371081"/>
    <w:rsid w:val="00392614"/>
    <w:rsid w:val="00393F44"/>
    <w:rsid w:val="00394302"/>
    <w:rsid w:val="003A5D0E"/>
    <w:rsid w:val="003A7A2C"/>
    <w:rsid w:val="003B149D"/>
    <w:rsid w:val="003B1876"/>
    <w:rsid w:val="003B2116"/>
    <w:rsid w:val="003E3CD6"/>
    <w:rsid w:val="003E49A6"/>
    <w:rsid w:val="004003F8"/>
    <w:rsid w:val="00403AA8"/>
    <w:rsid w:val="00411EAC"/>
    <w:rsid w:val="00424B95"/>
    <w:rsid w:val="00432204"/>
    <w:rsid w:val="00437105"/>
    <w:rsid w:val="004411B8"/>
    <w:rsid w:val="00441C0A"/>
    <w:rsid w:val="004475B7"/>
    <w:rsid w:val="00447676"/>
    <w:rsid w:val="004523CC"/>
    <w:rsid w:val="00457B03"/>
    <w:rsid w:val="00460431"/>
    <w:rsid w:val="00465FB1"/>
    <w:rsid w:val="00470F15"/>
    <w:rsid w:val="00475480"/>
    <w:rsid w:val="0047549C"/>
    <w:rsid w:val="00480A3F"/>
    <w:rsid w:val="00480E7E"/>
    <w:rsid w:val="004917DC"/>
    <w:rsid w:val="00492B73"/>
    <w:rsid w:val="004931BE"/>
    <w:rsid w:val="00496619"/>
    <w:rsid w:val="004A2F29"/>
    <w:rsid w:val="004B7AD6"/>
    <w:rsid w:val="004C12EB"/>
    <w:rsid w:val="004C238C"/>
    <w:rsid w:val="004C7990"/>
    <w:rsid w:val="004D4319"/>
    <w:rsid w:val="004E22CA"/>
    <w:rsid w:val="004E232A"/>
    <w:rsid w:val="004F0DD8"/>
    <w:rsid w:val="0050645A"/>
    <w:rsid w:val="005200A0"/>
    <w:rsid w:val="005205AE"/>
    <w:rsid w:val="005242E5"/>
    <w:rsid w:val="00524DA5"/>
    <w:rsid w:val="0052701B"/>
    <w:rsid w:val="00530269"/>
    <w:rsid w:val="005346DA"/>
    <w:rsid w:val="00535D03"/>
    <w:rsid w:val="00540AD4"/>
    <w:rsid w:val="00540E8D"/>
    <w:rsid w:val="00562871"/>
    <w:rsid w:val="00562D62"/>
    <w:rsid w:val="00567784"/>
    <w:rsid w:val="00570547"/>
    <w:rsid w:val="0057454B"/>
    <w:rsid w:val="00594AED"/>
    <w:rsid w:val="00596449"/>
    <w:rsid w:val="005A0B57"/>
    <w:rsid w:val="005A218E"/>
    <w:rsid w:val="005B21D4"/>
    <w:rsid w:val="005B21EB"/>
    <w:rsid w:val="005C00A7"/>
    <w:rsid w:val="005D1369"/>
    <w:rsid w:val="005D21F5"/>
    <w:rsid w:val="005D70E4"/>
    <w:rsid w:val="00602923"/>
    <w:rsid w:val="00615894"/>
    <w:rsid w:val="00621918"/>
    <w:rsid w:val="00624DA5"/>
    <w:rsid w:val="00632E40"/>
    <w:rsid w:val="00634250"/>
    <w:rsid w:val="006434A0"/>
    <w:rsid w:val="00656A24"/>
    <w:rsid w:val="006623F6"/>
    <w:rsid w:val="00671B87"/>
    <w:rsid w:val="006764EE"/>
    <w:rsid w:val="00686CF0"/>
    <w:rsid w:val="0069167A"/>
    <w:rsid w:val="00696BE0"/>
    <w:rsid w:val="006A0937"/>
    <w:rsid w:val="006A52D3"/>
    <w:rsid w:val="006B3660"/>
    <w:rsid w:val="006C2A36"/>
    <w:rsid w:val="006C3ACB"/>
    <w:rsid w:val="006C4593"/>
    <w:rsid w:val="006D459A"/>
    <w:rsid w:val="006E1148"/>
    <w:rsid w:val="006E4BD6"/>
    <w:rsid w:val="006F35C1"/>
    <w:rsid w:val="006F3B46"/>
    <w:rsid w:val="006F4A69"/>
    <w:rsid w:val="00706B61"/>
    <w:rsid w:val="00713C71"/>
    <w:rsid w:val="00717B99"/>
    <w:rsid w:val="00733FBD"/>
    <w:rsid w:val="007644BE"/>
    <w:rsid w:val="0077434B"/>
    <w:rsid w:val="00775B8D"/>
    <w:rsid w:val="007941EE"/>
    <w:rsid w:val="007A3864"/>
    <w:rsid w:val="007A47FF"/>
    <w:rsid w:val="007A75F6"/>
    <w:rsid w:val="007A7AC5"/>
    <w:rsid w:val="007C2464"/>
    <w:rsid w:val="007C465F"/>
    <w:rsid w:val="007C5E97"/>
    <w:rsid w:val="007C6A5A"/>
    <w:rsid w:val="007C74F2"/>
    <w:rsid w:val="007D083A"/>
    <w:rsid w:val="007D5F8E"/>
    <w:rsid w:val="007E6180"/>
    <w:rsid w:val="007E796F"/>
    <w:rsid w:val="0080615A"/>
    <w:rsid w:val="008073FF"/>
    <w:rsid w:val="008076CC"/>
    <w:rsid w:val="00814A39"/>
    <w:rsid w:val="00815890"/>
    <w:rsid w:val="008211E7"/>
    <w:rsid w:val="00821B23"/>
    <w:rsid w:val="0082327C"/>
    <w:rsid w:val="00825CD6"/>
    <w:rsid w:val="00831F1C"/>
    <w:rsid w:val="00832D1F"/>
    <w:rsid w:val="00832DED"/>
    <w:rsid w:val="00835E46"/>
    <w:rsid w:val="00850591"/>
    <w:rsid w:val="00892322"/>
    <w:rsid w:val="00892ABB"/>
    <w:rsid w:val="00896AF3"/>
    <w:rsid w:val="008D59A6"/>
    <w:rsid w:val="008E7DF3"/>
    <w:rsid w:val="008F3B20"/>
    <w:rsid w:val="008F7179"/>
    <w:rsid w:val="00904F1A"/>
    <w:rsid w:val="009249E3"/>
    <w:rsid w:val="0093479F"/>
    <w:rsid w:val="00937757"/>
    <w:rsid w:val="0095486A"/>
    <w:rsid w:val="009572CB"/>
    <w:rsid w:val="00961F3A"/>
    <w:rsid w:val="00963EA4"/>
    <w:rsid w:val="009644A4"/>
    <w:rsid w:val="00967A94"/>
    <w:rsid w:val="009730C5"/>
    <w:rsid w:val="0097479A"/>
    <w:rsid w:val="00975765"/>
    <w:rsid w:val="009831E2"/>
    <w:rsid w:val="009905D0"/>
    <w:rsid w:val="00991C2B"/>
    <w:rsid w:val="009A3C24"/>
    <w:rsid w:val="009A7507"/>
    <w:rsid w:val="009B0F3E"/>
    <w:rsid w:val="009B15DF"/>
    <w:rsid w:val="009B1DCC"/>
    <w:rsid w:val="009B4066"/>
    <w:rsid w:val="009B5628"/>
    <w:rsid w:val="009C7110"/>
    <w:rsid w:val="009D29A0"/>
    <w:rsid w:val="009D4557"/>
    <w:rsid w:val="009E2412"/>
    <w:rsid w:val="009E4203"/>
    <w:rsid w:val="009E6F01"/>
    <w:rsid w:val="009F6026"/>
    <w:rsid w:val="009F7704"/>
    <w:rsid w:val="00A12AFB"/>
    <w:rsid w:val="00A13A65"/>
    <w:rsid w:val="00A15175"/>
    <w:rsid w:val="00A16D36"/>
    <w:rsid w:val="00A27DFF"/>
    <w:rsid w:val="00A341FB"/>
    <w:rsid w:val="00A36EB0"/>
    <w:rsid w:val="00A4201D"/>
    <w:rsid w:val="00A5610F"/>
    <w:rsid w:val="00A57307"/>
    <w:rsid w:val="00A6478F"/>
    <w:rsid w:val="00A64D65"/>
    <w:rsid w:val="00A65502"/>
    <w:rsid w:val="00A66475"/>
    <w:rsid w:val="00A66614"/>
    <w:rsid w:val="00A67ABB"/>
    <w:rsid w:val="00A70278"/>
    <w:rsid w:val="00A82CF9"/>
    <w:rsid w:val="00A964F3"/>
    <w:rsid w:val="00AA758D"/>
    <w:rsid w:val="00AB5813"/>
    <w:rsid w:val="00AB7372"/>
    <w:rsid w:val="00AB785B"/>
    <w:rsid w:val="00AC4EF1"/>
    <w:rsid w:val="00AD0DA4"/>
    <w:rsid w:val="00AE4A4F"/>
    <w:rsid w:val="00AF1F4A"/>
    <w:rsid w:val="00AF33EF"/>
    <w:rsid w:val="00B10308"/>
    <w:rsid w:val="00B151CF"/>
    <w:rsid w:val="00B1799D"/>
    <w:rsid w:val="00B205A4"/>
    <w:rsid w:val="00B31AD2"/>
    <w:rsid w:val="00B437F3"/>
    <w:rsid w:val="00B509DA"/>
    <w:rsid w:val="00B610E4"/>
    <w:rsid w:val="00B63B86"/>
    <w:rsid w:val="00B70754"/>
    <w:rsid w:val="00B808C0"/>
    <w:rsid w:val="00B84955"/>
    <w:rsid w:val="00B906A4"/>
    <w:rsid w:val="00B9113B"/>
    <w:rsid w:val="00B918E6"/>
    <w:rsid w:val="00B92F12"/>
    <w:rsid w:val="00B94082"/>
    <w:rsid w:val="00B9607D"/>
    <w:rsid w:val="00B96F01"/>
    <w:rsid w:val="00BB1FF6"/>
    <w:rsid w:val="00BB6D65"/>
    <w:rsid w:val="00BC1675"/>
    <w:rsid w:val="00BD6F41"/>
    <w:rsid w:val="00BE0965"/>
    <w:rsid w:val="00BE3E3C"/>
    <w:rsid w:val="00C067DE"/>
    <w:rsid w:val="00C22E4C"/>
    <w:rsid w:val="00C42076"/>
    <w:rsid w:val="00C515C1"/>
    <w:rsid w:val="00C52C47"/>
    <w:rsid w:val="00C562FC"/>
    <w:rsid w:val="00C813E6"/>
    <w:rsid w:val="00C82290"/>
    <w:rsid w:val="00C94452"/>
    <w:rsid w:val="00CA108F"/>
    <w:rsid w:val="00CA1AC5"/>
    <w:rsid w:val="00CA2555"/>
    <w:rsid w:val="00CA3419"/>
    <w:rsid w:val="00CB285F"/>
    <w:rsid w:val="00CB5F26"/>
    <w:rsid w:val="00CC610C"/>
    <w:rsid w:val="00CC686E"/>
    <w:rsid w:val="00CD500A"/>
    <w:rsid w:val="00CD66E1"/>
    <w:rsid w:val="00CE0F6B"/>
    <w:rsid w:val="00CF0F3A"/>
    <w:rsid w:val="00CF24CD"/>
    <w:rsid w:val="00D0390D"/>
    <w:rsid w:val="00D06502"/>
    <w:rsid w:val="00D23B47"/>
    <w:rsid w:val="00D25EF6"/>
    <w:rsid w:val="00D324B0"/>
    <w:rsid w:val="00D534A2"/>
    <w:rsid w:val="00D64B59"/>
    <w:rsid w:val="00D90329"/>
    <w:rsid w:val="00D95F26"/>
    <w:rsid w:val="00D9691D"/>
    <w:rsid w:val="00DA0E3C"/>
    <w:rsid w:val="00DA3058"/>
    <w:rsid w:val="00DA60D4"/>
    <w:rsid w:val="00DA63C4"/>
    <w:rsid w:val="00DC164C"/>
    <w:rsid w:val="00DC375B"/>
    <w:rsid w:val="00DC3F7E"/>
    <w:rsid w:val="00DC5AF4"/>
    <w:rsid w:val="00DD0B00"/>
    <w:rsid w:val="00DD3F36"/>
    <w:rsid w:val="00DD4A6C"/>
    <w:rsid w:val="00DF1A08"/>
    <w:rsid w:val="00DF7C4E"/>
    <w:rsid w:val="00E06136"/>
    <w:rsid w:val="00E16BCF"/>
    <w:rsid w:val="00E40901"/>
    <w:rsid w:val="00E40AEB"/>
    <w:rsid w:val="00E42908"/>
    <w:rsid w:val="00E50F86"/>
    <w:rsid w:val="00E52F83"/>
    <w:rsid w:val="00E5769E"/>
    <w:rsid w:val="00E60AD5"/>
    <w:rsid w:val="00E627D7"/>
    <w:rsid w:val="00E70FCC"/>
    <w:rsid w:val="00E72505"/>
    <w:rsid w:val="00E75347"/>
    <w:rsid w:val="00E86CCC"/>
    <w:rsid w:val="00E966CB"/>
    <w:rsid w:val="00E97DBF"/>
    <w:rsid w:val="00EA0394"/>
    <w:rsid w:val="00EA10D8"/>
    <w:rsid w:val="00EA39AB"/>
    <w:rsid w:val="00EA7252"/>
    <w:rsid w:val="00EB3107"/>
    <w:rsid w:val="00EB3A0C"/>
    <w:rsid w:val="00EC4CA6"/>
    <w:rsid w:val="00EC65F3"/>
    <w:rsid w:val="00ED12EC"/>
    <w:rsid w:val="00ED195E"/>
    <w:rsid w:val="00ED64A8"/>
    <w:rsid w:val="00EE3F6A"/>
    <w:rsid w:val="00EE57FC"/>
    <w:rsid w:val="00EF6AA7"/>
    <w:rsid w:val="00F20993"/>
    <w:rsid w:val="00F220EC"/>
    <w:rsid w:val="00F3206B"/>
    <w:rsid w:val="00F44AF4"/>
    <w:rsid w:val="00F60FD2"/>
    <w:rsid w:val="00F6326D"/>
    <w:rsid w:val="00F64364"/>
    <w:rsid w:val="00F6799A"/>
    <w:rsid w:val="00F8247B"/>
    <w:rsid w:val="00FB43E7"/>
    <w:rsid w:val="00FC07CE"/>
    <w:rsid w:val="00FC3700"/>
    <w:rsid w:val="00FC6EFF"/>
    <w:rsid w:val="00FD363A"/>
    <w:rsid w:val="00FD36B1"/>
    <w:rsid w:val="00FD3940"/>
    <w:rsid w:val="00FD5623"/>
    <w:rsid w:val="00FD69CC"/>
    <w:rsid w:val="00FE17C2"/>
    <w:rsid w:val="00FE72F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8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HTML Preformatte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B7372"/>
    <w:rPr>
      <w:rFonts w:ascii="Arial" w:hAnsi="Arial"/>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656A2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semiHidden/>
    <w:rsid w:val="00B9113B"/>
    <w:rPr>
      <w:rFonts w:ascii="MS Shell Dlg" w:hAnsi="MS Shell Dlg" w:cs="MS Shell Dlg"/>
      <w:sz w:val="16"/>
      <w:szCs w:val="16"/>
    </w:rPr>
  </w:style>
  <w:style w:type="character" w:styleId="CommentReference">
    <w:name w:val="annotation reference"/>
    <w:basedOn w:val="DefaultParagraphFont"/>
    <w:semiHidden/>
    <w:rsid w:val="00B9113B"/>
    <w:rPr>
      <w:sz w:val="16"/>
      <w:szCs w:val="16"/>
    </w:rPr>
  </w:style>
  <w:style w:type="paragraph" w:styleId="CommentText">
    <w:name w:val="annotation text"/>
    <w:basedOn w:val="Normal"/>
    <w:semiHidden/>
    <w:rsid w:val="00B9113B"/>
    <w:rPr>
      <w:sz w:val="20"/>
      <w:szCs w:val="20"/>
    </w:rPr>
  </w:style>
  <w:style w:type="paragraph" w:styleId="CommentSubject">
    <w:name w:val="annotation subject"/>
    <w:basedOn w:val="CommentText"/>
    <w:next w:val="CommentText"/>
    <w:semiHidden/>
    <w:rsid w:val="00B9113B"/>
    <w:rPr>
      <w:b/>
      <w:bCs/>
    </w:rPr>
  </w:style>
  <w:style w:type="paragraph" w:styleId="Header">
    <w:name w:val="header"/>
    <w:basedOn w:val="Normal"/>
    <w:link w:val="HeaderChar"/>
    <w:uiPriority w:val="99"/>
    <w:rsid w:val="00ED195E"/>
    <w:pPr>
      <w:tabs>
        <w:tab w:val="center" w:pos="4320"/>
        <w:tab w:val="right" w:pos="8640"/>
      </w:tabs>
    </w:pPr>
  </w:style>
  <w:style w:type="paragraph" w:styleId="Footer">
    <w:name w:val="footer"/>
    <w:basedOn w:val="Normal"/>
    <w:rsid w:val="00ED195E"/>
    <w:pPr>
      <w:tabs>
        <w:tab w:val="center" w:pos="4320"/>
        <w:tab w:val="right" w:pos="8640"/>
      </w:tabs>
    </w:pPr>
  </w:style>
  <w:style w:type="paragraph" w:styleId="HTMLPreformatted">
    <w:name w:val="HTML Preformatted"/>
    <w:basedOn w:val="Normal"/>
    <w:link w:val="HTMLPreformattedChar"/>
    <w:uiPriority w:val="99"/>
    <w:unhideWhenUsed/>
    <w:rsid w:val="009831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rsid w:val="009831E2"/>
    <w:rPr>
      <w:rFonts w:ascii="Courier New" w:hAnsi="Courier New" w:cs="Courier New"/>
    </w:rPr>
  </w:style>
  <w:style w:type="character" w:styleId="Hyperlink">
    <w:name w:val="Hyperlink"/>
    <w:basedOn w:val="DefaultParagraphFont"/>
    <w:rsid w:val="009831E2"/>
    <w:rPr>
      <w:color w:val="0000FF" w:themeColor="hyperlink"/>
      <w:u w:val="single"/>
    </w:rPr>
  </w:style>
  <w:style w:type="paragraph" w:styleId="Revision">
    <w:name w:val="Revision"/>
    <w:hidden/>
    <w:uiPriority w:val="99"/>
    <w:semiHidden/>
    <w:rsid w:val="009831E2"/>
    <w:rPr>
      <w:rFonts w:ascii="Arial" w:hAnsi="Arial"/>
      <w:sz w:val="24"/>
      <w:szCs w:val="24"/>
    </w:rPr>
  </w:style>
  <w:style w:type="paragraph" w:styleId="ListParagraph">
    <w:name w:val="List Paragraph"/>
    <w:basedOn w:val="Normal"/>
    <w:uiPriority w:val="34"/>
    <w:qFormat/>
    <w:rsid w:val="00E97DBF"/>
    <w:pPr>
      <w:ind w:left="720"/>
      <w:contextualSpacing/>
    </w:pPr>
  </w:style>
  <w:style w:type="character" w:customStyle="1" w:styleId="HeaderChar">
    <w:name w:val="Header Char"/>
    <w:basedOn w:val="DefaultParagraphFont"/>
    <w:link w:val="Header"/>
    <w:uiPriority w:val="99"/>
    <w:rsid w:val="001B5553"/>
    <w:rPr>
      <w:rFonts w:ascii="Arial" w:hAnsi="Arial"/>
      <w:sz w:val="24"/>
      <w:szCs w:val="24"/>
    </w:rPr>
  </w:style>
  <w:style w:type="paragraph" w:styleId="EndnoteText">
    <w:name w:val="endnote text"/>
    <w:basedOn w:val="Normal"/>
    <w:link w:val="EndnoteTextChar"/>
    <w:rsid w:val="008E7DF3"/>
    <w:rPr>
      <w:sz w:val="20"/>
      <w:szCs w:val="20"/>
    </w:rPr>
  </w:style>
  <w:style w:type="character" w:customStyle="1" w:styleId="EndnoteTextChar">
    <w:name w:val="Endnote Text Char"/>
    <w:basedOn w:val="DefaultParagraphFont"/>
    <w:link w:val="EndnoteText"/>
    <w:rsid w:val="008E7DF3"/>
    <w:rPr>
      <w:rFonts w:ascii="Arial" w:hAnsi="Arial"/>
    </w:rPr>
  </w:style>
  <w:style w:type="character" w:styleId="EndnoteReference">
    <w:name w:val="endnote reference"/>
    <w:basedOn w:val="DefaultParagraphFont"/>
    <w:rsid w:val="008E7DF3"/>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B7372"/>
    <w:rPr>
      <w:rFonts w:ascii="Arial" w:hAnsi="Arial"/>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656A2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semiHidden/>
    <w:rsid w:val="00B9113B"/>
    <w:rPr>
      <w:rFonts w:ascii="MS Shell Dlg" w:hAnsi="MS Shell Dlg" w:cs="MS Shell Dlg"/>
      <w:sz w:val="16"/>
      <w:szCs w:val="16"/>
    </w:rPr>
  </w:style>
  <w:style w:type="character" w:styleId="CommentReference">
    <w:name w:val="annotation reference"/>
    <w:basedOn w:val="DefaultParagraphFont"/>
    <w:semiHidden/>
    <w:rsid w:val="00B9113B"/>
    <w:rPr>
      <w:sz w:val="16"/>
      <w:szCs w:val="16"/>
    </w:rPr>
  </w:style>
  <w:style w:type="paragraph" w:styleId="CommentText">
    <w:name w:val="annotation text"/>
    <w:basedOn w:val="Normal"/>
    <w:semiHidden/>
    <w:rsid w:val="00B9113B"/>
    <w:rPr>
      <w:sz w:val="20"/>
      <w:szCs w:val="20"/>
    </w:rPr>
  </w:style>
  <w:style w:type="paragraph" w:styleId="CommentSubject">
    <w:name w:val="annotation subject"/>
    <w:basedOn w:val="CommentText"/>
    <w:next w:val="CommentText"/>
    <w:semiHidden/>
    <w:rsid w:val="00B9113B"/>
    <w:rPr>
      <w:b/>
      <w:bCs/>
    </w:rPr>
  </w:style>
  <w:style w:type="paragraph" w:styleId="Header">
    <w:name w:val="header"/>
    <w:basedOn w:val="Normal"/>
    <w:rsid w:val="00ED195E"/>
    <w:pPr>
      <w:tabs>
        <w:tab w:val="center" w:pos="4320"/>
        <w:tab w:val="right" w:pos="8640"/>
      </w:tabs>
    </w:pPr>
  </w:style>
  <w:style w:type="paragraph" w:styleId="Footer">
    <w:name w:val="footer"/>
    <w:basedOn w:val="Normal"/>
    <w:rsid w:val="00ED195E"/>
    <w:pPr>
      <w:tabs>
        <w:tab w:val="center" w:pos="4320"/>
        <w:tab w:val="right" w:pos="8640"/>
      </w:tabs>
    </w:pPr>
  </w:style>
  <w:style w:type="paragraph" w:styleId="HTMLPreformatted">
    <w:name w:val="HTML Preformatted"/>
    <w:basedOn w:val="Normal"/>
    <w:link w:val="HTMLPreformattedChar"/>
    <w:uiPriority w:val="99"/>
    <w:unhideWhenUsed/>
    <w:rsid w:val="009831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rsid w:val="009831E2"/>
    <w:rPr>
      <w:rFonts w:ascii="Courier New" w:hAnsi="Courier New" w:cs="Courier New"/>
    </w:rPr>
  </w:style>
  <w:style w:type="character" w:styleId="Hyperlink">
    <w:name w:val="Hyperlink"/>
    <w:basedOn w:val="DefaultParagraphFont"/>
    <w:rsid w:val="009831E2"/>
    <w:rPr>
      <w:color w:val="0000FF" w:themeColor="hyperlink"/>
      <w:u w:val="single"/>
    </w:rPr>
  </w:style>
  <w:style w:type="paragraph" w:styleId="Revision">
    <w:name w:val="Revision"/>
    <w:hidden/>
    <w:uiPriority w:val="99"/>
    <w:semiHidden/>
    <w:rsid w:val="009831E2"/>
    <w:rPr>
      <w:rFonts w:ascii="Arial" w:hAnsi="Arial"/>
      <w:sz w:val="24"/>
      <w:szCs w:val="24"/>
    </w:rPr>
  </w:style>
  <w:style w:type="paragraph" w:styleId="ListParagraph">
    <w:name w:val="List Paragraph"/>
    <w:basedOn w:val="Normal"/>
    <w:uiPriority w:val="34"/>
    <w:qFormat/>
    <w:rsid w:val="00E97DBF"/>
    <w:pPr>
      <w:ind w:left="720"/>
      <w:contextualSpacing/>
    </w:pPr>
  </w:style>
</w:styles>
</file>

<file path=word/webSettings.xml><?xml version="1.0" encoding="utf-8"?>
<w:webSettings xmlns:r="http://schemas.openxmlformats.org/officeDocument/2006/relationships" xmlns:w="http://schemas.openxmlformats.org/wordprocessingml/2006/main">
  <w:divs>
    <w:div w:id="35660515">
      <w:bodyDiv w:val="1"/>
      <w:marLeft w:val="0"/>
      <w:marRight w:val="0"/>
      <w:marTop w:val="0"/>
      <w:marBottom w:val="0"/>
      <w:divBdr>
        <w:top w:val="none" w:sz="0" w:space="0" w:color="auto"/>
        <w:left w:val="none" w:sz="0" w:space="0" w:color="auto"/>
        <w:bottom w:val="none" w:sz="0" w:space="0" w:color="auto"/>
        <w:right w:val="none" w:sz="0" w:space="0" w:color="auto"/>
      </w:divBdr>
      <w:divsChild>
        <w:div w:id="116679367">
          <w:marLeft w:val="0"/>
          <w:marRight w:val="0"/>
          <w:marTop w:val="0"/>
          <w:marBottom w:val="0"/>
          <w:divBdr>
            <w:top w:val="none" w:sz="0" w:space="0" w:color="auto"/>
            <w:left w:val="none" w:sz="0" w:space="0" w:color="auto"/>
            <w:bottom w:val="none" w:sz="0" w:space="0" w:color="auto"/>
            <w:right w:val="none" w:sz="0" w:space="0" w:color="auto"/>
          </w:divBdr>
          <w:divsChild>
            <w:div w:id="2119250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2958193">
      <w:bodyDiv w:val="1"/>
      <w:marLeft w:val="0"/>
      <w:marRight w:val="0"/>
      <w:marTop w:val="0"/>
      <w:marBottom w:val="0"/>
      <w:divBdr>
        <w:top w:val="none" w:sz="0" w:space="0" w:color="auto"/>
        <w:left w:val="none" w:sz="0" w:space="0" w:color="auto"/>
        <w:bottom w:val="none" w:sz="0" w:space="0" w:color="auto"/>
        <w:right w:val="none" w:sz="0" w:space="0" w:color="auto"/>
      </w:divBdr>
      <w:divsChild>
        <w:div w:id="849178559">
          <w:marLeft w:val="3150"/>
          <w:marRight w:val="0"/>
          <w:marTop w:val="0"/>
          <w:marBottom w:val="0"/>
          <w:divBdr>
            <w:top w:val="none" w:sz="0" w:space="0" w:color="auto"/>
            <w:left w:val="none" w:sz="0" w:space="0" w:color="auto"/>
            <w:bottom w:val="none" w:sz="0" w:space="0" w:color="auto"/>
            <w:right w:val="none" w:sz="0" w:space="0" w:color="auto"/>
          </w:divBdr>
          <w:divsChild>
            <w:div w:id="1432508620">
              <w:marLeft w:val="150"/>
              <w:marRight w:val="150"/>
              <w:marTop w:val="150"/>
              <w:marBottom w:val="150"/>
              <w:divBdr>
                <w:top w:val="single" w:sz="6" w:space="0" w:color="93092D"/>
                <w:left w:val="single" w:sz="6" w:space="4" w:color="93092D"/>
                <w:bottom w:val="single" w:sz="6" w:space="4" w:color="93092D"/>
                <w:right w:val="single" w:sz="6" w:space="4" w:color="93092D"/>
              </w:divBdr>
            </w:div>
          </w:divsChild>
        </w:div>
      </w:divsChild>
    </w:div>
    <w:div w:id="830676199">
      <w:bodyDiv w:val="1"/>
      <w:marLeft w:val="0"/>
      <w:marRight w:val="0"/>
      <w:marTop w:val="0"/>
      <w:marBottom w:val="0"/>
      <w:divBdr>
        <w:top w:val="none" w:sz="0" w:space="0" w:color="auto"/>
        <w:left w:val="none" w:sz="0" w:space="0" w:color="auto"/>
        <w:bottom w:val="none" w:sz="0" w:space="0" w:color="auto"/>
        <w:right w:val="none" w:sz="0" w:space="0" w:color="auto"/>
      </w:divBdr>
      <w:divsChild>
        <w:div w:id="2040739742">
          <w:marLeft w:val="0"/>
          <w:marRight w:val="0"/>
          <w:marTop w:val="0"/>
          <w:marBottom w:val="0"/>
          <w:divBdr>
            <w:top w:val="none" w:sz="0" w:space="0" w:color="auto"/>
            <w:left w:val="none" w:sz="0" w:space="0" w:color="auto"/>
            <w:bottom w:val="none" w:sz="0" w:space="0" w:color="auto"/>
            <w:right w:val="none" w:sz="0" w:space="0" w:color="auto"/>
          </w:divBdr>
          <w:divsChild>
            <w:div w:id="1269316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8974001">
      <w:bodyDiv w:val="1"/>
      <w:marLeft w:val="0"/>
      <w:marRight w:val="0"/>
      <w:marTop w:val="0"/>
      <w:marBottom w:val="0"/>
      <w:divBdr>
        <w:top w:val="none" w:sz="0" w:space="0" w:color="auto"/>
        <w:left w:val="none" w:sz="0" w:space="0" w:color="auto"/>
        <w:bottom w:val="none" w:sz="0" w:space="0" w:color="auto"/>
        <w:right w:val="none" w:sz="0" w:space="0" w:color="auto"/>
      </w:divBdr>
      <w:divsChild>
        <w:div w:id="1782412338">
          <w:marLeft w:val="3150"/>
          <w:marRight w:val="0"/>
          <w:marTop w:val="0"/>
          <w:marBottom w:val="0"/>
          <w:divBdr>
            <w:top w:val="none" w:sz="0" w:space="0" w:color="auto"/>
            <w:left w:val="none" w:sz="0" w:space="0" w:color="auto"/>
            <w:bottom w:val="none" w:sz="0" w:space="0" w:color="auto"/>
            <w:right w:val="none" w:sz="0" w:space="0" w:color="auto"/>
          </w:divBdr>
          <w:divsChild>
            <w:div w:id="427970508">
              <w:marLeft w:val="150"/>
              <w:marRight w:val="150"/>
              <w:marTop w:val="150"/>
              <w:marBottom w:val="150"/>
              <w:divBdr>
                <w:top w:val="single" w:sz="6" w:space="0" w:color="93092D"/>
                <w:left w:val="single" w:sz="6" w:space="4" w:color="93092D"/>
                <w:bottom w:val="single" w:sz="6" w:space="4" w:color="93092D"/>
                <w:right w:val="single" w:sz="6" w:space="4" w:color="93092D"/>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5" Type="http://schemas.microsoft.com/office/2007/relationships/stylesWithEffects" Target="stylesWithEffect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80C88C-8682-4E5B-811C-60DEEB2196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1136</Words>
  <Characters>6331</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Disclosure of FTI by CSEAS</vt:lpstr>
    </vt:vector>
  </TitlesOfParts>
  <Company>Department of the Treasury</Company>
  <LinksUpToDate>false</LinksUpToDate>
  <CharactersWithSpaces>7453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Disclosure of FTI by CSEAS</dc:title>
  <dc:creator>v49db</dc:creator>
  <cp:lastModifiedBy>NB</cp:lastModifiedBy>
  <cp:revision>2</cp:revision>
  <cp:lastPrinted>2013-05-31T19:30:00Z</cp:lastPrinted>
  <dcterms:created xsi:type="dcterms:W3CDTF">2013-06-19T13:53:00Z</dcterms:created>
  <dcterms:modified xsi:type="dcterms:W3CDTF">2013-06-19T13:53:00Z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